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6.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1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E5EA3" w14:textId="72BBF0D7" w:rsidR="00A015C3" w:rsidRPr="000550B0" w:rsidRDefault="000550B0" w:rsidP="005F376C">
      <w:pPr>
        <w:pStyle w:val="Nzev"/>
        <w:jc w:val="center"/>
        <w:rPr>
          <w:rFonts w:ascii="Cambria" w:hAnsi="Cambria" w:cs="Times New Roman"/>
          <w:color w:val="44546A" w:themeColor="text2"/>
          <w:spacing w:val="0"/>
          <w:sz w:val="52"/>
          <w:szCs w:val="48"/>
        </w:rPr>
      </w:pPr>
      <w:r w:rsidRPr="000550B0">
        <w:rPr>
          <w:rFonts w:ascii="Cambria" w:hAnsi="Cambria" w:cs="Times New Roman"/>
          <w:color w:val="44546A" w:themeColor="text2"/>
          <w:spacing w:val="0"/>
          <w:sz w:val="52"/>
          <w:szCs w:val="48"/>
        </w:rPr>
        <w:t>Východiská prípravy národných priorít implementácie Agendy 2030</w:t>
      </w:r>
    </w:p>
    <w:p w14:paraId="0C4D063D" w14:textId="77777777" w:rsidR="00936F5E" w:rsidRDefault="00936F5E" w:rsidP="00024B70"/>
    <w:sdt>
      <w:sdtPr>
        <w:rPr>
          <w:rFonts w:ascii="Times New Roman" w:eastAsia="Times New Roman" w:hAnsi="Times New Roman" w:cs="Times New Roman"/>
          <w:bCs/>
          <w:color w:val="000000"/>
          <w:sz w:val="24"/>
          <w:szCs w:val="24"/>
          <w:lang w:eastAsia="en-GB"/>
        </w:rPr>
        <w:id w:val="712080017"/>
        <w:docPartObj>
          <w:docPartGallery w:val="Table of Contents"/>
          <w:docPartUnique/>
        </w:docPartObj>
      </w:sdtPr>
      <w:sdtEndPr>
        <w:rPr>
          <w:b/>
        </w:rPr>
      </w:sdtEndPr>
      <w:sdtContent>
        <w:p w14:paraId="7C640E35" w14:textId="6A8E91AF" w:rsidR="00957F77" w:rsidRPr="00C931FB" w:rsidRDefault="00957F77" w:rsidP="009B246F">
          <w:pPr>
            <w:pStyle w:val="Nadpisobsahu"/>
            <w:rPr>
              <w:rFonts w:ascii="Cambria" w:hAnsi="Cambria"/>
              <w:b/>
            </w:rPr>
          </w:pPr>
          <w:r w:rsidRPr="00C931FB">
            <w:rPr>
              <w:rFonts w:ascii="Cambria" w:hAnsi="Cambria"/>
              <w:b/>
              <w:sz w:val="28"/>
              <w:szCs w:val="28"/>
            </w:rPr>
            <w:t>Obsah</w:t>
          </w:r>
        </w:p>
        <w:p w14:paraId="0ACFDA94" w14:textId="77777777" w:rsidR="00AE5A9F" w:rsidRDefault="00957F77">
          <w:pPr>
            <w:pStyle w:val="Obsah1"/>
            <w:tabs>
              <w:tab w:val="right" w:leader="dot" w:pos="9010"/>
            </w:tabs>
            <w:rPr>
              <w:rFonts w:asciiTheme="minorHAnsi" w:eastAsiaTheme="minorEastAsia" w:hAnsiTheme="minorHAnsi" w:cstheme="minorBidi"/>
              <w:bCs w:val="0"/>
              <w:noProof/>
              <w:color w:val="auto"/>
              <w:sz w:val="22"/>
              <w:szCs w:val="22"/>
              <w:lang w:val="cs-CZ" w:eastAsia="cs-CZ"/>
            </w:rPr>
          </w:pPr>
          <w:r>
            <w:fldChar w:fldCharType="begin"/>
          </w:r>
          <w:r>
            <w:instrText xml:space="preserve"> TOC \o "1-3" \h \z \u </w:instrText>
          </w:r>
          <w:r>
            <w:fldChar w:fldCharType="separate"/>
          </w:r>
          <w:hyperlink w:anchor="_Toc500705983" w:history="1">
            <w:r w:rsidR="00AE5A9F" w:rsidRPr="00940A37">
              <w:rPr>
                <w:rStyle w:val="Hypertextovodkaz"/>
                <w:noProof/>
              </w:rPr>
              <w:t>Úvod</w:t>
            </w:r>
            <w:r w:rsidR="00AE5A9F">
              <w:rPr>
                <w:noProof/>
                <w:webHidden/>
              </w:rPr>
              <w:tab/>
            </w:r>
            <w:r w:rsidR="00AE5A9F">
              <w:rPr>
                <w:noProof/>
                <w:webHidden/>
              </w:rPr>
              <w:fldChar w:fldCharType="begin"/>
            </w:r>
            <w:r w:rsidR="00AE5A9F">
              <w:rPr>
                <w:noProof/>
                <w:webHidden/>
              </w:rPr>
              <w:instrText xml:space="preserve"> PAGEREF _Toc500705983 \h </w:instrText>
            </w:r>
            <w:r w:rsidR="00AE5A9F">
              <w:rPr>
                <w:noProof/>
                <w:webHidden/>
              </w:rPr>
            </w:r>
            <w:r w:rsidR="00AE5A9F">
              <w:rPr>
                <w:noProof/>
                <w:webHidden/>
              </w:rPr>
              <w:fldChar w:fldCharType="separate"/>
            </w:r>
            <w:r w:rsidR="00AE5A9F">
              <w:rPr>
                <w:noProof/>
                <w:webHidden/>
              </w:rPr>
              <w:t>3</w:t>
            </w:r>
            <w:r w:rsidR="00AE5A9F">
              <w:rPr>
                <w:noProof/>
                <w:webHidden/>
              </w:rPr>
              <w:fldChar w:fldCharType="end"/>
            </w:r>
          </w:hyperlink>
        </w:p>
        <w:p w14:paraId="63011EDA" w14:textId="77777777" w:rsidR="00AE5A9F" w:rsidRDefault="00AE5A9F">
          <w:pPr>
            <w:pStyle w:val="Obsah1"/>
            <w:tabs>
              <w:tab w:val="right" w:leader="dot" w:pos="9010"/>
            </w:tabs>
            <w:rPr>
              <w:rFonts w:asciiTheme="minorHAnsi" w:eastAsiaTheme="minorEastAsia" w:hAnsiTheme="minorHAnsi" w:cstheme="minorBidi"/>
              <w:bCs w:val="0"/>
              <w:noProof/>
              <w:color w:val="auto"/>
              <w:sz w:val="22"/>
              <w:szCs w:val="22"/>
              <w:lang w:val="cs-CZ" w:eastAsia="cs-CZ"/>
            </w:rPr>
          </w:pPr>
          <w:hyperlink w:anchor="_Toc500705984" w:history="1">
            <w:r w:rsidRPr="00940A37">
              <w:rPr>
                <w:rStyle w:val="Hypertextovodkaz"/>
                <w:noProof/>
              </w:rPr>
              <w:t>Zhrnutie</w:t>
            </w:r>
            <w:r>
              <w:rPr>
                <w:noProof/>
                <w:webHidden/>
              </w:rPr>
              <w:tab/>
            </w:r>
            <w:r>
              <w:rPr>
                <w:noProof/>
                <w:webHidden/>
              </w:rPr>
              <w:fldChar w:fldCharType="begin"/>
            </w:r>
            <w:r>
              <w:rPr>
                <w:noProof/>
                <w:webHidden/>
              </w:rPr>
              <w:instrText xml:space="preserve"> PAGEREF _Toc500705984 \h </w:instrText>
            </w:r>
            <w:r>
              <w:rPr>
                <w:noProof/>
                <w:webHidden/>
              </w:rPr>
            </w:r>
            <w:r>
              <w:rPr>
                <w:noProof/>
                <w:webHidden/>
              </w:rPr>
              <w:fldChar w:fldCharType="separate"/>
            </w:r>
            <w:r>
              <w:rPr>
                <w:noProof/>
                <w:webHidden/>
              </w:rPr>
              <w:t>4</w:t>
            </w:r>
            <w:r>
              <w:rPr>
                <w:noProof/>
                <w:webHidden/>
              </w:rPr>
              <w:fldChar w:fldCharType="end"/>
            </w:r>
          </w:hyperlink>
        </w:p>
        <w:p w14:paraId="3D098F26" w14:textId="77777777" w:rsidR="00AE5A9F" w:rsidRDefault="00AE5A9F">
          <w:pPr>
            <w:pStyle w:val="Obsah1"/>
            <w:tabs>
              <w:tab w:val="right" w:leader="dot" w:pos="9010"/>
            </w:tabs>
            <w:rPr>
              <w:rFonts w:asciiTheme="minorHAnsi" w:eastAsiaTheme="minorEastAsia" w:hAnsiTheme="minorHAnsi" w:cstheme="minorBidi"/>
              <w:bCs w:val="0"/>
              <w:noProof/>
              <w:color w:val="auto"/>
              <w:sz w:val="22"/>
              <w:szCs w:val="22"/>
              <w:lang w:val="cs-CZ" w:eastAsia="cs-CZ"/>
            </w:rPr>
          </w:pPr>
          <w:hyperlink w:anchor="_Toc500705985" w:history="1">
            <w:r w:rsidRPr="00940A37">
              <w:rPr>
                <w:rStyle w:val="Hypertextovodkaz"/>
                <w:noProof/>
              </w:rPr>
              <w:t>Záber a metodika analytického materiálu</w:t>
            </w:r>
            <w:r>
              <w:rPr>
                <w:noProof/>
                <w:webHidden/>
              </w:rPr>
              <w:tab/>
            </w:r>
            <w:r>
              <w:rPr>
                <w:noProof/>
                <w:webHidden/>
              </w:rPr>
              <w:fldChar w:fldCharType="begin"/>
            </w:r>
            <w:r>
              <w:rPr>
                <w:noProof/>
                <w:webHidden/>
              </w:rPr>
              <w:instrText xml:space="preserve"> PAGEREF _Toc500705985 \h </w:instrText>
            </w:r>
            <w:r>
              <w:rPr>
                <w:noProof/>
                <w:webHidden/>
              </w:rPr>
            </w:r>
            <w:r>
              <w:rPr>
                <w:noProof/>
                <w:webHidden/>
              </w:rPr>
              <w:fldChar w:fldCharType="separate"/>
            </w:r>
            <w:r>
              <w:rPr>
                <w:noProof/>
                <w:webHidden/>
              </w:rPr>
              <w:t>6</w:t>
            </w:r>
            <w:r>
              <w:rPr>
                <w:noProof/>
                <w:webHidden/>
              </w:rPr>
              <w:fldChar w:fldCharType="end"/>
            </w:r>
          </w:hyperlink>
        </w:p>
        <w:p w14:paraId="32C58B9C" w14:textId="77777777" w:rsidR="00AE5A9F" w:rsidRDefault="00AE5A9F">
          <w:pPr>
            <w:pStyle w:val="Obsah1"/>
            <w:tabs>
              <w:tab w:val="right" w:leader="dot" w:pos="9010"/>
            </w:tabs>
            <w:rPr>
              <w:rFonts w:asciiTheme="minorHAnsi" w:eastAsiaTheme="minorEastAsia" w:hAnsiTheme="minorHAnsi" w:cstheme="minorBidi"/>
              <w:bCs w:val="0"/>
              <w:noProof/>
              <w:color w:val="auto"/>
              <w:sz w:val="22"/>
              <w:szCs w:val="22"/>
              <w:lang w:val="cs-CZ" w:eastAsia="cs-CZ"/>
            </w:rPr>
          </w:pPr>
          <w:hyperlink w:anchor="_Toc500705986" w:history="1">
            <w:r w:rsidRPr="00940A37">
              <w:rPr>
                <w:rStyle w:val="Hypertextovodkaz"/>
                <w:noProof/>
              </w:rPr>
              <w:t>Časť 1: Megatrendy, výzvy a priority</w:t>
            </w:r>
            <w:r>
              <w:rPr>
                <w:noProof/>
                <w:webHidden/>
              </w:rPr>
              <w:tab/>
            </w:r>
            <w:r>
              <w:rPr>
                <w:noProof/>
                <w:webHidden/>
              </w:rPr>
              <w:fldChar w:fldCharType="begin"/>
            </w:r>
            <w:r>
              <w:rPr>
                <w:noProof/>
                <w:webHidden/>
              </w:rPr>
              <w:instrText xml:space="preserve"> PAGEREF _Toc500705986 \h </w:instrText>
            </w:r>
            <w:r>
              <w:rPr>
                <w:noProof/>
                <w:webHidden/>
              </w:rPr>
            </w:r>
            <w:r>
              <w:rPr>
                <w:noProof/>
                <w:webHidden/>
              </w:rPr>
              <w:fldChar w:fldCharType="separate"/>
            </w:r>
            <w:r>
              <w:rPr>
                <w:noProof/>
                <w:webHidden/>
              </w:rPr>
              <w:t>8</w:t>
            </w:r>
            <w:r>
              <w:rPr>
                <w:noProof/>
                <w:webHidden/>
              </w:rPr>
              <w:fldChar w:fldCharType="end"/>
            </w:r>
          </w:hyperlink>
        </w:p>
        <w:p w14:paraId="5F899B3D"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5987" w:history="1">
            <w:r w:rsidRPr="00940A37">
              <w:rPr>
                <w:rStyle w:val="Hypertextovodkaz"/>
                <w:noProof/>
              </w:rPr>
              <w:t>Téma 1: Udržateľný ekonomický rast pri starnúcej populácii a v meniacom sa globálnom prostredí</w:t>
            </w:r>
            <w:r>
              <w:rPr>
                <w:noProof/>
                <w:webHidden/>
              </w:rPr>
              <w:tab/>
            </w:r>
            <w:r>
              <w:rPr>
                <w:noProof/>
                <w:webHidden/>
              </w:rPr>
              <w:fldChar w:fldCharType="begin"/>
            </w:r>
            <w:r>
              <w:rPr>
                <w:noProof/>
                <w:webHidden/>
              </w:rPr>
              <w:instrText xml:space="preserve"> PAGEREF _Toc500705987 \h </w:instrText>
            </w:r>
            <w:r>
              <w:rPr>
                <w:noProof/>
                <w:webHidden/>
              </w:rPr>
            </w:r>
            <w:r>
              <w:rPr>
                <w:noProof/>
                <w:webHidden/>
              </w:rPr>
              <w:fldChar w:fldCharType="separate"/>
            </w:r>
            <w:r>
              <w:rPr>
                <w:noProof/>
                <w:webHidden/>
              </w:rPr>
              <w:t>8</w:t>
            </w:r>
            <w:r>
              <w:rPr>
                <w:noProof/>
                <w:webHidden/>
              </w:rPr>
              <w:fldChar w:fldCharType="end"/>
            </w:r>
          </w:hyperlink>
        </w:p>
        <w:p w14:paraId="3D155C83"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88" w:history="1">
            <w:r w:rsidRPr="00940A37">
              <w:rPr>
                <w:rStyle w:val="Hypertextovodkaz"/>
                <w:noProof/>
              </w:rPr>
              <w:t>1 Globálne megatrendy</w:t>
            </w:r>
            <w:r>
              <w:rPr>
                <w:noProof/>
                <w:webHidden/>
              </w:rPr>
              <w:tab/>
            </w:r>
            <w:r>
              <w:rPr>
                <w:noProof/>
                <w:webHidden/>
              </w:rPr>
              <w:fldChar w:fldCharType="begin"/>
            </w:r>
            <w:r>
              <w:rPr>
                <w:noProof/>
                <w:webHidden/>
              </w:rPr>
              <w:instrText xml:space="preserve"> PAGEREF _Toc500705988 \h </w:instrText>
            </w:r>
            <w:r>
              <w:rPr>
                <w:noProof/>
                <w:webHidden/>
              </w:rPr>
            </w:r>
            <w:r>
              <w:rPr>
                <w:noProof/>
                <w:webHidden/>
              </w:rPr>
              <w:fldChar w:fldCharType="separate"/>
            </w:r>
            <w:r>
              <w:rPr>
                <w:noProof/>
                <w:webHidden/>
              </w:rPr>
              <w:t>8</w:t>
            </w:r>
            <w:r>
              <w:rPr>
                <w:noProof/>
                <w:webHidden/>
              </w:rPr>
              <w:fldChar w:fldCharType="end"/>
            </w:r>
          </w:hyperlink>
        </w:p>
        <w:p w14:paraId="778ACFE6"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89" w:history="1">
            <w:r w:rsidRPr="00940A37">
              <w:rPr>
                <w:rStyle w:val="Hypertextovodkaz"/>
                <w:noProof/>
              </w:rPr>
              <w:t>2 Pozícia Slovenska</w:t>
            </w:r>
            <w:r>
              <w:rPr>
                <w:noProof/>
                <w:webHidden/>
              </w:rPr>
              <w:tab/>
            </w:r>
            <w:r>
              <w:rPr>
                <w:noProof/>
                <w:webHidden/>
              </w:rPr>
              <w:fldChar w:fldCharType="begin"/>
            </w:r>
            <w:r>
              <w:rPr>
                <w:noProof/>
                <w:webHidden/>
              </w:rPr>
              <w:instrText xml:space="preserve"> PAGEREF _Toc500705989 \h </w:instrText>
            </w:r>
            <w:r>
              <w:rPr>
                <w:noProof/>
                <w:webHidden/>
              </w:rPr>
            </w:r>
            <w:r>
              <w:rPr>
                <w:noProof/>
                <w:webHidden/>
              </w:rPr>
              <w:fldChar w:fldCharType="separate"/>
            </w:r>
            <w:r>
              <w:rPr>
                <w:noProof/>
                <w:webHidden/>
              </w:rPr>
              <w:t>8</w:t>
            </w:r>
            <w:r>
              <w:rPr>
                <w:noProof/>
                <w:webHidden/>
              </w:rPr>
              <w:fldChar w:fldCharType="end"/>
            </w:r>
          </w:hyperlink>
        </w:p>
        <w:p w14:paraId="2356A13E"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0" w:history="1">
            <w:r w:rsidRPr="00940A37">
              <w:rPr>
                <w:rStyle w:val="Hypertextovodkaz"/>
                <w:noProof/>
              </w:rPr>
              <w:t>3 Analýza medzery</w:t>
            </w:r>
            <w:r>
              <w:rPr>
                <w:noProof/>
                <w:webHidden/>
              </w:rPr>
              <w:tab/>
            </w:r>
            <w:r>
              <w:rPr>
                <w:noProof/>
                <w:webHidden/>
              </w:rPr>
              <w:fldChar w:fldCharType="begin"/>
            </w:r>
            <w:r>
              <w:rPr>
                <w:noProof/>
                <w:webHidden/>
              </w:rPr>
              <w:instrText xml:space="preserve"> PAGEREF _Toc500705990 \h </w:instrText>
            </w:r>
            <w:r>
              <w:rPr>
                <w:noProof/>
                <w:webHidden/>
              </w:rPr>
            </w:r>
            <w:r>
              <w:rPr>
                <w:noProof/>
                <w:webHidden/>
              </w:rPr>
              <w:fldChar w:fldCharType="separate"/>
            </w:r>
            <w:r>
              <w:rPr>
                <w:noProof/>
                <w:webHidden/>
              </w:rPr>
              <w:t>9</w:t>
            </w:r>
            <w:r>
              <w:rPr>
                <w:noProof/>
                <w:webHidden/>
              </w:rPr>
              <w:fldChar w:fldCharType="end"/>
            </w:r>
          </w:hyperlink>
        </w:p>
        <w:p w14:paraId="4D749693"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1" w:history="1">
            <w:r w:rsidRPr="00940A37">
              <w:rPr>
                <w:rStyle w:val="Hypertextovodkaz"/>
                <w:noProof/>
              </w:rPr>
              <w:t>4 Stručný prehľad existujúcich dlhodobých stratégií SR v danej téme</w:t>
            </w:r>
            <w:r>
              <w:rPr>
                <w:noProof/>
                <w:webHidden/>
              </w:rPr>
              <w:tab/>
            </w:r>
            <w:r>
              <w:rPr>
                <w:noProof/>
                <w:webHidden/>
              </w:rPr>
              <w:fldChar w:fldCharType="begin"/>
            </w:r>
            <w:r>
              <w:rPr>
                <w:noProof/>
                <w:webHidden/>
              </w:rPr>
              <w:instrText xml:space="preserve"> PAGEREF _Toc500705991 \h </w:instrText>
            </w:r>
            <w:r>
              <w:rPr>
                <w:noProof/>
                <w:webHidden/>
              </w:rPr>
            </w:r>
            <w:r>
              <w:rPr>
                <w:noProof/>
                <w:webHidden/>
              </w:rPr>
              <w:fldChar w:fldCharType="separate"/>
            </w:r>
            <w:r>
              <w:rPr>
                <w:noProof/>
                <w:webHidden/>
              </w:rPr>
              <w:t>11</w:t>
            </w:r>
            <w:r>
              <w:rPr>
                <w:noProof/>
                <w:webHidden/>
              </w:rPr>
              <w:fldChar w:fldCharType="end"/>
            </w:r>
          </w:hyperlink>
        </w:p>
        <w:p w14:paraId="0CC15115"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2" w:history="1">
            <w:r w:rsidRPr="00940A37">
              <w:rPr>
                <w:rStyle w:val="Hypertextovodkaz"/>
                <w:noProof/>
              </w:rPr>
              <w:t>Téma 2: Vzdelanie pre udržateľný rozvoj (inkluzívne a kvalitné vzdelávanie pre potreby trhu práce)</w:t>
            </w:r>
            <w:r>
              <w:rPr>
                <w:noProof/>
                <w:webHidden/>
              </w:rPr>
              <w:tab/>
            </w:r>
            <w:r>
              <w:rPr>
                <w:noProof/>
                <w:webHidden/>
              </w:rPr>
              <w:fldChar w:fldCharType="begin"/>
            </w:r>
            <w:r>
              <w:rPr>
                <w:noProof/>
                <w:webHidden/>
              </w:rPr>
              <w:instrText xml:space="preserve"> PAGEREF _Toc500705992 \h </w:instrText>
            </w:r>
            <w:r>
              <w:rPr>
                <w:noProof/>
                <w:webHidden/>
              </w:rPr>
            </w:r>
            <w:r>
              <w:rPr>
                <w:noProof/>
                <w:webHidden/>
              </w:rPr>
              <w:fldChar w:fldCharType="separate"/>
            </w:r>
            <w:r>
              <w:rPr>
                <w:noProof/>
                <w:webHidden/>
              </w:rPr>
              <w:t>12</w:t>
            </w:r>
            <w:r>
              <w:rPr>
                <w:noProof/>
                <w:webHidden/>
              </w:rPr>
              <w:fldChar w:fldCharType="end"/>
            </w:r>
          </w:hyperlink>
        </w:p>
        <w:p w14:paraId="6F5057A3"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3" w:history="1">
            <w:r w:rsidRPr="00940A37">
              <w:rPr>
                <w:rStyle w:val="Hypertextovodkaz"/>
                <w:noProof/>
              </w:rPr>
              <w:t>1 Globálne megatrendy</w:t>
            </w:r>
            <w:r>
              <w:rPr>
                <w:noProof/>
                <w:webHidden/>
              </w:rPr>
              <w:tab/>
            </w:r>
            <w:r>
              <w:rPr>
                <w:noProof/>
                <w:webHidden/>
              </w:rPr>
              <w:fldChar w:fldCharType="begin"/>
            </w:r>
            <w:r>
              <w:rPr>
                <w:noProof/>
                <w:webHidden/>
              </w:rPr>
              <w:instrText xml:space="preserve"> PAGEREF _Toc500705993 \h </w:instrText>
            </w:r>
            <w:r>
              <w:rPr>
                <w:noProof/>
                <w:webHidden/>
              </w:rPr>
            </w:r>
            <w:r>
              <w:rPr>
                <w:noProof/>
                <w:webHidden/>
              </w:rPr>
              <w:fldChar w:fldCharType="separate"/>
            </w:r>
            <w:r>
              <w:rPr>
                <w:noProof/>
                <w:webHidden/>
              </w:rPr>
              <w:t>12</w:t>
            </w:r>
            <w:r>
              <w:rPr>
                <w:noProof/>
                <w:webHidden/>
              </w:rPr>
              <w:fldChar w:fldCharType="end"/>
            </w:r>
          </w:hyperlink>
        </w:p>
        <w:p w14:paraId="783EED37"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4" w:history="1">
            <w:r w:rsidRPr="00940A37">
              <w:rPr>
                <w:rStyle w:val="Hypertextovodkaz"/>
                <w:noProof/>
              </w:rPr>
              <w:t>2 Pozícia Slovenska</w:t>
            </w:r>
            <w:r>
              <w:rPr>
                <w:noProof/>
                <w:webHidden/>
              </w:rPr>
              <w:tab/>
            </w:r>
            <w:r>
              <w:rPr>
                <w:noProof/>
                <w:webHidden/>
              </w:rPr>
              <w:fldChar w:fldCharType="begin"/>
            </w:r>
            <w:r>
              <w:rPr>
                <w:noProof/>
                <w:webHidden/>
              </w:rPr>
              <w:instrText xml:space="preserve"> PAGEREF _Toc500705994 \h </w:instrText>
            </w:r>
            <w:r>
              <w:rPr>
                <w:noProof/>
                <w:webHidden/>
              </w:rPr>
            </w:r>
            <w:r>
              <w:rPr>
                <w:noProof/>
                <w:webHidden/>
              </w:rPr>
              <w:fldChar w:fldCharType="separate"/>
            </w:r>
            <w:r>
              <w:rPr>
                <w:noProof/>
                <w:webHidden/>
              </w:rPr>
              <w:t>12</w:t>
            </w:r>
            <w:r>
              <w:rPr>
                <w:noProof/>
                <w:webHidden/>
              </w:rPr>
              <w:fldChar w:fldCharType="end"/>
            </w:r>
          </w:hyperlink>
        </w:p>
        <w:p w14:paraId="211F517E"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5" w:history="1">
            <w:r w:rsidRPr="00940A37">
              <w:rPr>
                <w:rStyle w:val="Hypertextovodkaz"/>
                <w:noProof/>
              </w:rPr>
              <w:t>3 Analýza medzery</w:t>
            </w:r>
            <w:r>
              <w:rPr>
                <w:noProof/>
                <w:webHidden/>
              </w:rPr>
              <w:tab/>
            </w:r>
            <w:r>
              <w:rPr>
                <w:noProof/>
                <w:webHidden/>
              </w:rPr>
              <w:fldChar w:fldCharType="begin"/>
            </w:r>
            <w:r>
              <w:rPr>
                <w:noProof/>
                <w:webHidden/>
              </w:rPr>
              <w:instrText xml:space="preserve"> PAGEREF _Toc500705995 \h </w:instrText>
            </w:r>
            <w:r>
              <w:rPr>
                <w:noProof/>
                <w:webHidden/>
              </w:rPr>
            </w:r>
            <w:r>
              <w:rPr>
                <w:noProof/>
                <w:webHidden/>
              </w:rPr>
              <w:fldChar w:fldCharType="separate"/>
            </w:r>
            <w:r>
              <w:rPr>
                <w:noProof/>
                <w:webHidden/>
              </w:rPr>
              <w:t>14</w:t>
            </w:r>
            <w:r>
              <w:rPr>
                <w:noProof/>
                <w:webHidden/>
              </w:rPr>
              <w:fldChar w:fldCharType="end"/>
            </w:r>
          </w:hyperlink>
        </w:p>
        <w:p w14:paraId="498601A6"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6" w:history="1">
            <w:r w:rsidRPr="00940A37">
              <w:rPr>
                <w:rStyle w:val="Hypertextovodkaz"/>
                <w:noProof/>
              </w:rPr>
              <w:t>4 Stručný prehľad existujúcich dlhodobých stratégií SR v danej téme</w:t>
            </w:r>
            <w:r>
              <w:rPr>
                <w:noProof/>
                <w:webHidden/>
              </w:rPr>
              <w:tab/>
            </w:r>
            <w:r>
              <w:rPr>
                <w:noProof/>
                <w:webHidden/>
              </w:rPr>
              <w:fldChar w:fldCharType="begin"/>
            </w:r>
            <w:r>
              <w:rPr>
                <w:noProof/>
                <w:webHidden/>
              </w:rPr>
              <w:instrText xml:space="preserve"> PAGEREF _Toc500705996 \h </w:instrText>
            </w:r>
            <w:r>
              <w:rPr>
                <w:noProof/>
                <w:webHidden/>
              </w:rPr>
            </w:r>
            <w:r>
              <w:rPr>
                <w:noProof/>
                <w:webHidden/>
              </w:rPr>
              <w:fldChar w:fldCharType="separate"/>
            </w:r>
            <w:r>
              <w:rPr>
                <w:noProof/>
                <w:webHidden/>
              </w:rPr>
              <w:t>16</w:t>
            </w:r>
            <w:r>
              <w:rPr>
                <w:noProof/>
                <w:webHidden/>
              </w:rPr>
              <w:fldChar w:fldCharType="end"/>
            </w:r>
          </w:hyperlink>
        </w:p>
        <w:p w14:paraId="34FA23F5"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7" w:history="1">
            <w:r w:rsidRPr="00940A37">
              <w:rPr>
                <w:rStyle w:val="Hypertextovodkaz"/>
                <w:noProof/>
              </w:rPr>
              <w:t>Téma 3: Zdravie a kvalita života</w:t>
            </w:r>
            <w:r>
              <w:rPr>
                <w:noProof/>
                <w:webHidden/>
              </w:rPr>
              <w:tab/>
            </w:r>
            <w:r>
              <w:rPr>
                <w:noProof/>
                <w:webHidden/>
              </w:rPr>
              <w:fldChar w:fldCharType="begin"/>
            </w:r>
            <w:r>
              <w:rPr>
                <w:noProof/>
                <w:webHidden/>
              </w:rPr>
              <w:instrText xml:space="preserve"> PAGEREF _Toc500705997 \h </w:instrText>
            </w:r>
            <w:r>
              <w:rPr>
                <w:noProof/>
                <w:webHidden/>
              </w:rPr>
            </w:r>
            <w:r>
              <w:rPr>
                <w:noProof/>
                <w:webHidden/>
              </w:rPr>
              <w:fldChar w:fldCharType="separate"/>
            </w:r>
            <w:r>
              <w:rPr>
                <w:noProof/>
                <w:webHidden/>
              </w:rPr>
              <w:t>17</w:t>
            </w:r>
            <w:r>
              <w:rPr>
                <w:noProof/>
                <w:webHidden/>
              </w:rPr>
              <w:fldChar w:fldCharType="end"/>
            </w:r>
          </w:hyperlink>
        </w:p>
        <w:p w14:paraId="7B4241FF"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8" w:history="1">
            <w:r w:rsidRPr="00940A37">
              <w:rPr>
                <w:rStyle w:val="Hypertextovodkaz"/>
                <w:noProof/>
              </w:rPr>
              <w:t>1 Globálne megatrendy</w:t>
            </w:r>
            <w:r>
              <w:rPr>
                <w:noProof/>
                <w:webHidden/>
              </w:rPr>
              <w:tab/>
            </w:r>
            <w:r>
              <w:rPr>
                <w:noProof/>
                <w:webHidden/>
              </w:rPr>
              <w:fldChar w:fldCharType="begin"/>
            </w:r>
            <w:r>
              <w:rPr>
                <w:noProof/>
                <w:webHidden/>
              </w:rPr>
              <w:instrText xml:space="preserve"> PAGEREF _Toc500705998 \h </w:instrText>
            </w:r>
            <w:r>
              <w:rPr>
                <w:noProof/>
                <w:webHidden/>
              </w:rPr>
            </w:r>
            <w:r>
              <w:rPr>
                <w:noProof/>
                <w:webHidden/>
              </w:rPr>
              <w:fldChar w:fldCharType="separate"/>
            </w:r>
            <w:r>
              <w:rPr>
                <w:noProof/>
                <w:webHidden/>
              </w:rPr>
              <w:t>17</w:t>
            </w:r>
            <w:r>
              <w:rPr>
                <w:noProof/>
                <w:webHidden/>
              </w:rPr>
              <w:fldChar w:fldCharType="end"/>
            </w:r>
          </w:hyperlink>
        </w:p>
        <w:p w14:paraId="37EAC53B"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5999" w:history="1">
            <w:r w:rsidRPr="00940A37">
              <w:rPr>
                <w:rStyle w:val="Hypertextovodkaz"/>
                <w:noProof/>
              </w:rPr>
              <w:t>2 Pozícia Slovenska</w:t>
            </w:r>
            <w:r>
              <w:rPr>
                <w:noProof/>
                <w:webHidden/>
              </w:rPr>
              <w:tab/>
            </w:r>
            <w:r>
              <w:rPr>
                <w:noProof/>
                <w:webHidden/>
              </w:rPr>
              <w:fldChar w:fldCharType="begin"/>
            </w:r>
            <w:r>
              <w:rPr>
                <w:noProof/>
                <w:webHidden/>
              </w:rPr>
              <w:instrText xml:space="preserve"> PAGEREF _Toc500705999 \h </w:instrText>
            </w:r>
            <w:r>
              <w:rPr>
                <w:noProof/>
                <w:webHidden/>
              </w:rPr>
            </w:r>
            <w:r>
              <w:rPr>
                <w:noProof/>
                <w:webHidden/>
              </w:rPr>
              <w:fldChar w:fldCharType="separate"/>
            </w:r>
            <w:r>
              <w:rPr>
                <w:noProof/>
                <w:webHidden/>
              </w:rPr>
              <w:t>18</w:t>
            </w:r>
            <w:r>
              <w:rPr>
                <w:noProof/>
                <w:webHidden/>
              </w:rPr>
              <w:fldChar w:fldCharType="end"/>
            </w:r>
          </w:hyperlink>
        </w:p>
        <w:p w14:paraId="449D29FF"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0" w:history="1">
            <w:r w:rsidRPr="00940A37">
              <w:rPr>
                <w:rStyle w:val="Hypertextovodkaz"/>
                <w:noProof/>
              </w:rPr>
              <w:t>3 Analýza medzery</w:t>
            </w:r>
            <w:r>
              <w:rPr>
                <w:noProof/>
                <w:webHidden/>
              </w:rPr>
              <w:tab/>
            </w:r>
            <w:r>
              <w:rPr>
                <w:noProof/>
                <w:webHidden/>
              </w:rPr>
              <w:fldChar w:fldCharType="begin"/>
            </w:r>
            <w:r>
              <w:rPr>
                <w:noProof/>
                <w:webHidden/>
              </w:rPr>
              <w:instrText xml:space="preserve"> PAGEREF _Toc500706000 \h </w:instrText>
            </w:r>
            <w:r>
              <w:rPr>
                <w:noProof/>
                <w:webHidden/>
              </w:rPr>
            </w:r>
            <w:r>
              <w:rPr>
                <w:noProof/>
                <w:webHidden/>
              </w:rPr>
              <w:fldChar w:fldCharType="separate"/>
            </w:r>
            <w:r>
              <w:rPr>
                <w:noProof/>
                <w:webHidden/>
              </w:rPr>
              <w:t>20</w:t>
            </w:r>
            <w:r>
              <w:rPr>
                <w:noProof/>
                <w:webHidden/>
              </w:rPr>
              <w:fldChar w:fldCharType="end"/>
            </w:r>
          </w:hyperlink>
        </w:p>
        <w:p w14:paraId="5C60F300"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1" w:history="1">
            <w:r w:rsidRPr="00940A37">
              <w:rPr>
                <w:rStyle w:val="Hypertextovodkaz"/>
                <w:noProof/>
              </w:rPr>
              <w:t>4 Stručný prehľad existujúcich dlhodobých stratégií SR v danej téme</w:t>
            </w:r>
            <w:r>
              <w:rPr>
                <w:noProof/>
                <w:webHidden/>
              </w:rPr>
              <w:tab/>
            </w:r>
            <w:r>
              <w:rPr>
                <w:noProof/>
                <w:webHidden/>
              </w:rPr>
              <w:fldChar w:fldCharType="begin"/>
            </w:r>
            <w:r>
              <w:rPr>
                <w:noProof/>
                <w:webHidden/>
              </w:rPr>
              <w:instrText xml:space="preserve"> PAGEREF _Toc500706001 \h </w:instrText>
            </w:r>
            <w:r>
              <w:rPr>
                <w:noProof/>
                <w:webHidden/>
              </w:rPr>
            </w:r>
            <w:r>
              <w:rPr>
                <w:noProof/>
                <w:webHidden/>
              </w:rPr>
              <w:fldChar w:fldCharType="separate"/>
            </w:r>
            <w:r>
              <w:rPr>
                <w:noProof/>
                <w:webHidden/>
              </w:rPr>
              <w:t>21</w:t>
            </w:r>
            <w:r>
              <w:rPr>
                <w:noProof/>
                <w:webHidden/>
              </w:rPr>
              <w:fldChar w:fldCharType="end"/>
            </w:r>
          </w:hyperlink>
        </w:p>
        <w:p w14:paraId="0E573F43"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2" w:history="1">
            <w:r w:rsidRPr="00940A37">
              <w:rPr>
                <w:rStyle w:val="Hypertextovodkaz"/>
                <w:noProof/>
              </w:rPr>
              <w:t>Téma 4: Udržateľné sídla a krajina v kontexte zmeny klímy</w:t>
            </w:r>
            <w:r>
              <w:rPr>
                <w:noProof/>
                <w:webHidden/>
              </w:rPr>
              <w:tab/>
            </w:r>
            <w:r>
              <w:rPr>
                <w:noProof/>
                <w:webHidden/>
              </w:rPr>
              <w:fldChar w:fldCharType="begin"/>
            </w:r>
            <w:r>
              <w:rPr>
                <w:noProof/>
                <w:webHidden/>
              </w:rPr>
              <w:instrText xml:space="preserve"> PAGEREF _Toc500706002 \h </w:instrText>
            </w:r>
            <w:r>
              <w:rPr>
                <w:noProof/>
                <w:webHidden/>
              </w:rPr>
            </w:r>
            <w:r>
              <w:rPr>
                <w:noProof/>
                <w:webHidden/>
              </w:rPr>
              <w:fldChar w:fldCharType="separate"/>
            </w:r>
            <w:r>
              <w:rPr>
                <w:noProof/>
                <w:webHidden/>
              </w:rPr>
              <w:t>22</w:t>
            </w:r>
            <w:r>
              <w:rPr>
                <w:noProof/>
                <w:webHidden/>
              </w:rPr>
              <w:fldChar w:fldCharType="end"/>
            </w:r>
          </w:hyperlink>
        </w:p>
        <w:p w14:paraId="4422B545"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3" w:history="1">
            <w:r w:rsidRPr="00940A37">
              <w:rPr>
                <w:rStyle w:val="Hypertextovodkaz"/>
                <w:noProof/>
              </w:rPr>
              <w:t>1 Globálne megatrendy</w:t>
            </w:r>
            <w:r>
              <w:rPr>
                <w:noProof/>
                <w:webHidden/>
              </w:rPr>
              <w:tab/>
            </w:r>
            <w:r>
              <w:rPr>
                <w:noProof/>
                <w:webHidden/>
              </w:rPr>
              <w:fldChar w:fldCharType="begin"/>
            </w:r>
            <w:r>
              <w:rPr>
                <w:noProof/>
                <w:webHidden/>
              </w:rPr>
              <w:instrText xml:space="preserve"> PAGEREF _Toc500706003 \h </w:instrText>
            </w:r>
            <w:r>
              <w:rPr>
                <w:noProof/>
                <w:webHidden/>
              </w:rPr>
            </w:r>
            <w:r>
              <w:rPr>
                <w:noProof/>
                <w:webHidden/>
              </w:rPr>
              <w:fldChar w:fldCharType="separate"/>
            </w:r>
            <w:r>
              <w:rPr>
                <w:noProof/>
                <w:webHidden/>
              </w:rPr>
              <w:t>22</w:t>
            </w:r>
            <w:r>
              <w:rPr>
                <w:noProof/>
                <w:webHidden/>
              </w:rPr>
              <w:fldChar w:fldCharType="end"/>
            </w:r>
          </w:hyperlink>
        </w:p>
        <w:p w14:paraId="0291004C"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4" w:history="1">
            <w:r w:rsidRPr="00940A37">
              <w:rPr>
                <w:rStyle w:val="Hypertextovodkaz"/>
                <w:noProof/>
              </w:rPr>
              <w:t>2 Pozícia Slovenska</w:t>
            </w:r>
            <w:r>
              <w:rPr>
                <w:noProof/>
                <w:webHidden/>
              </w:rPr>
              <w:tab/>
            </w:r>
            <w:r>
              <w:rPr>
                <w:noProof/>
                <w:webHidden/>
              </w:rPr>
              <w:fldChar w:fldCharType="begin"/>
            </w:r>
            <w:r>
              <w:rPr>
                <w:noProof/>
                <w:webHidden/>
              </w:rPr>
              <w:instrText xml:space="preserve"> PAGEREF _Toc500706004 \h </w:instrText>
            </w:r>
            <w:r>
              <w:rPr>
                <w:noProof/>
                <w:webHidden/>
              </w:rPr>
            </w:r>
            <w:r>
              <w:rPr>
                <w:noProof/>
                <w:webHidden/>
              </w:rPr>
              <w:fldChar w:fldCharType="separate"/>
            </w:r>
            <w:r>
              <w:rPr>
                <w:noProof/>
                <w:webHidden/>
              </w:rPr>
              <w:t>23</w:t>
            </w:r>
            <w:r>
              <w:rPr>
                <w:noProof/>
                <w:webHidden/>
              </w:rPr>
              <w:fldChar w:fldCharType="end"/>
            </w:r>
          </w:hyperlink>
        </w:p>
        <w:p w14:paraId="0FC50A20"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5" w:history="1">
            <w:r w:rsidRPr="00940A37">
              <w:rPr>
                <w:rStyle w:val="Hypertextovodkaz"/>
                <w:noProof/>
              </w:rPr>
              <w:t>3 Analýza medzery</w:t>
            </w:r>
            <w:r>
              <w:rPr>
                <w:noProof/>
                <w:webHidden/>
              </w:rPr>
              <w:tab/>
            </w:r>
            <w:r>
              <w:rPr>
                <w:noProof/>
                <w:webHidden/>
              </w:rPr>
              <w:fldChar w:fldCharType="begin"/>
            </w:r>
            <w:r>
              <w:rPr>
                <w:noProof/>
                <w:webHidden/>
              </w:rPr>
              <w:instrText xml:space="preserve"> PAGEREF _Toc500706005 \h </w:instrText>
            </w:r>
            <w:r>
              <w:rPr>
                <w:noProof/>
                <w:webHidden/>
              </w:rPr>
            </w:r>
            <w:r>
              <w:rPr>
                <w:noProof/>
                <w:webHidden/>
              </w:rPr>
              <w:fldChar w:fldCharType="separate"/>
            </w:r>
            <w:r>
              <w:rPr>
                <w:noProof/>
                <w:webHidden/>
              </w:rPr>
              <w:t>24</w:t>
            </w:r>
            <w:r>
              <w:rPr>
                <w:noProof/>
                <w:webHidden/>
              </w:rPr>
              <w:fldChar w:fldCharType="end"/>
            </w:r>
          </w:hyperlink>
        </w:p>
        <w:p w14:paraId="15222F0B"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6" w:history="1">
            <w:r w:rsidRPr="00940A37">
              <w:rPr>
                <w:rStyle w:val="Hypertextovodkaz"/>
                <w:noProof/>
              </w:rPr>
              <w:t>4 Stručný prehľad existujúcich dlhodobých stratégií SR v danej téme</w:t>
            </w:r>
            <w:r>
              <w:rPr>
                <w:noProof/>
                <w:webHidden/>
              </w:rPr>
              <w:tab/>
            </w:r>
            <w:r>
              <w:rPr>
                <w:noProof/>
                <w:webHidden/>
              </w:rPr>
              <w:fldChar w:fldCharType="begin"/>
            </w:r>
            <w:r>
              <w:rPr>
                <w:noProof/>
                <w:webHidden/>
              </w:rPr>
              <w:instrText xml:space="preserve"> PAGEREF _Toc500706006 \h </w:instrText>
            </w:r>
            <w:r>
              <w:rPr>
                <w:noProof/>
                <w:webHidden/>
              </w:rPr>
            </w:r>
            <w:r>
              <w:rPr>
                <w:noProof/>
                <w:webHidden/>
              </w:rPr>
              <w:fldChar w:fldCharType="separate"/>
            </w:r>
            <w:r>
              <w:rPr>
                <w:noProof/>
                <w:webHidden/>
              </w:rPr>
              <w:t>25</w:t>
            </w:r>
            <w:r>
              <w:rPr>
                <w:noProof/>
                <w:webHidden/>
              </w:rPr>
              <w:fldChar w:fldCharType="end"/>
            </w:r>
          </w:hyperlink>
        </w:p>
        <w:p w14:paraId="5B737310"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7" w:history="1">
            <w:r w:rsidRPr="00940A37">
              <w:rPr>
                <w:rStyle w:val="Hypertextovodkaz"/>
                <w:noProof/>
              </w:rPr>
              <w:t>Téma 5: Eliminácia chudoby a sociálna inklúzia</w:t>
            </w:r>
            <w:r>
              <w:rPr>
                <w:noProof/>
                <w:webHidden/>
              </w:rPr>
              <w:tab/>
            </w:r>
            <w:r>
              <w:rPr>
                <w:noProof/>
                <w:webHidden/>
              </w:rPr>
              <w:fldChar w:fldCharType="begin"/>
            </w:r>
            <w:r>
              <w:rPr>
                <w:noProof/>
                <w:webHidden/>
              </w:rPr>
              <w:instrText xml:space="preserve"> PAGEREF _Toc500706007 \h </w:instrText>
            </w:r>
            <w:r>
              <w:rPr>
                <w:noProof/>
                <w:webHidden/>
              </w:rPr>
            </w:r>
            <w:r>
              <w:rPr>
                <w:noProof/>
                <w:webHidden/>
              </w:rPr>
              <w:fldChar w:fldCharType="separate"/>
            </w:r>
            <w:r>
              <w:rPr>
                <w:noProof/>
                <w:webHidden/>
              </w:rPr>
              <w:t>26</w:t>
            </w:r>
            <w:r>
              <w:rPr>
                <w:noProof/>
                <w:webHidden/>
              </w:rPr>
              <w:fldChar w:fldCharType="end"/>
            </w:r>
          </w:hyperlink>
        </w:p>
        <w:p w14:paraId="7712243F"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8" w:history="1">
            <w:r w:rsidRPr="00940A37">
              <w:rPr>
                <w:rStyle w:val="Hypertextovodkaz"/>
                <w:noProof/>
              </w:rPr>
              <w:t>1 Globálne megatrendy</w:t>
            </w:r>
            <w:r>
              <w:rPr>
                <w:noProof/>
                <w:webHidden/>
              </w:rPr>
              <w:tab/>
            </w:r>
            <w:r>
              <w:rPr>
                <w:noProof/>
                <w:webHidden/>
              </w:rPr>
              <w:fldChar w:fldCharType="begin"/>
            </w:r>
            <w:r>
              <w:rPr>
                <w:noProof/>
                <w:webHidden/>
              </w:rPr>
              <w:instrText xml:space="preserve"> PAGEREF _Toc500706008 \h </w:instrText>
            </w:r>
            <w:r>
              <w:rPr>
                <w:noProof/>
                <w:webHidden/>
              </w:rPr>
            </w:r>
            <w:r>
              <w:rPr>
                <w:noProof/>
                <w:webHidden/>
              </w:rPr>
              <w:fldChar w:fldCharType="separate"/>
            </w:r>
            <w:r>
              <w:rPr>
                <w:noProof/>
                <w:webHidden/>
              </w:rPr>
              <w:t>26</w:t>
            </w:r>
            <w:r>
              <w:rPr>
                <w:noProof/>
                <w:webHidden/>
              </w:rPr>
              <w:fldChar w:fldCharType="end"/>
            </w:r>
          </w:hyperlink>
        </w:p>
        <w:p w14:paraId="0E057342"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09" w:history="1">
            <w:r w:rsidRPr="00940A37">
              <w:rPr>
                <w:rStyle w:val="Hypertextovodkaz"/>
                <w:noProof/>
              </w:rPr>
              <w:t>2 Pozícia Slovenska</w:t>
            </w:r>
            <w:r>
              <w:rPr>
                <w:noProof/>
                <w:webHidden/>
              </w:rPr>
              <w:tab/>
            </w:r>
            <w:r>
              <w:rPr>
                <w:noProof/>
                <w:webHidden/>
              </w:rPr>
              <w:fldChar w:fldCharType="begin"/>
            </w:r>
            <w:r>
              <w:rPr>
                <w:noProof/>
                <w:webHidden/>
              </w:rPr>
              <w:instrText xml:space="preserve"> PAGEREF _Toc500706009 \h </w:instrText>
            </w:r>
            <w:r>
              <w:rPr>
                <w:noProof/>
                <w:webHidden/>
              </w:rPr>
            </w:r>
            <w:r>
              <w:rPr>
                <w:noProof/>
                <w:webHidden/>
              </w:rPr>
              <w:fldChar w:fldCharType="separate"/>
            </w:r>
            <w:r>
              <w:rPr>
                <w:noProof/>
                <w:webHidden/>
              </w:rPr>
              <w:t>27</w:t>
            </w:r>
            <w:r>
              <w:rPr>
                <w:noProof/>
                <w:webHidden/>
              </w:rPr>
              <w:fldChar w:fldCharType="end"/>
            </w:r>
          </w:hyperlink>
        </w:p>
        <w:p w14:paraId="022373E3"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0" w:history="1">
            <w:r w:rsidRPr="00940A37">
              <w:rPr>
                <w:rStyle w:val="Hypertextovodkaz"/>
                <w:noProof/>
              </w:rPr>
              <w:t>3 Analýza medzery</w:t>
            </w:r>
            <w:r>
              <w:rPr>
                <w:noProof/>
                <w:webHidden/>
              </w:rPr>
              <w:tab/>
            </w:r>
            <w:r>
              <w:rPr>
                <w:noProof/>
                <w:webHidden/>
              </w:rPr>
              <w:fldChar w:fldCharType="begin"/>
            </w:r>
            <w:r>
              <w:rPr>
                <w:noProof/>
                <w:webHidden/>
              </w:rPr>
              <w:instrText xml:space="preserve"> PAGEREF _Toc500706010 \h </w:instrText>
            </w:r>
            <w:r>
              <w:rPr>
                <w:noProof/>
                <w:webHidden/>
              </w:rPr>
            </w:r>
            <w:r>
              <w:rPr>
                <w:noProof/>
                <w:webHidden/>
              </w:rPr>
              <w:fldChar w:fldCharType="separate"/>
            </w:r>
            <w:r>
              <w:rPr>
                <w:noProof/>
                <w:webHidden/>
              </w:rPr>
              <w:t>28</w:t>
            </w:r>
            <w:r>
              <w:rPr>
                <w:noProof/>
                <w:webHidden/>
              </w:rPr>
              <w:fldChar w:fldCharType="end"/>
            </w:r>
          </w:hyperlink>
        </w:p>
        <w:p w14:paraId="252174D4"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1" w:history="1">
            <w:r w:rsidRPr="00940A37">
              <w:rPr>
                <w:rStyle w:val="Hypertextovodkaz"/>
                <w:noProof/>
              </w:rPr>
              <w:t>4 Stručný prehľad existujúcich dlhodobých stratégií SR v danej téme</w:t>
            </w:r>
            <w:r>
              <w:rPr>
                <w:noProof/>
                <w:webHidden/>
              </w:rPr>
              <w:tab/>
            </w:r>
            <w:r>
              <w:rPr>
                <w:noProof/>
                <w:webHidden/>
              </w:rPr>
              <w:fldChar w:fldCharType="begin"/>
            </w:r>
            <w:r>
              <w:rPr>
                <w:noProof/>
                <w:webHidden/>
              </w:rPr>
              <w:instrText xml:space="preserve"> PAGEREF _Toc500706011 \h </w:instrText>
            </w:r>
            <w:r>
              <w:rPr>
                <w:noProof/>
                <w:webHidden/>
              </w:rPr>
            </w:r>
            <w:r>
              <w:rPr>
                <w:noProof/>
                <w:webHidden/>
              </w:rPr>
              <w:fldChar w:fldCharType="separate"/>
            </w:r>
            <w:r>
              <w:rPr>
                <w:noProof/>
                <w:webHidden/>
              </w:rPr>
              <w:t>29</w:t>
            </w:r>
            <w:r>
              <w:rPr>
                <w:noProof/>
                <w:webHidden/>
              </w:rPr>
              <w:fldChar w:fldCharType="end"/>
            </w:r>
          </w:hyperlink>
        </w:p>
        <w:p w14:paraId="0F8BA6B0" w14:textId="77777777" w:rsidR="00AE5A9F" w:rsidRDefault="00AE5A9F">
          <w:pPr>
            <w:pStyle w:val="Obsah1"/>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2" w:history="1">
            <w:r w:rsidRPr="00940A37">
              <w:rPr>
                <w:rStyle w:val="Hypertextovodkaz"/>
                <w:noProof/>
              </w:rPr>
              <w:t>Časť 2: Návrh metodológie pre definovanie a dosahovanie cieľov 2030</w:t>
            </w:r>
            <w:r>
              <w:rPr>
                <w:noProof/>
                <w:webHidden/>
              </w:rPr>
              <w:tab/>
            </w:r>
            <w:r>
              <w:rPr>
                <w:noProof/>
                <w:webHidden/>
              </w:rPr>
              <w:fldChar w:fldCharType="begin"/>
            </w:r>
            <w:r>
              <w:rPr>
                <w:noProof/>
                <w:webHidden/>
              </w:rPr>
              <w:instrText xml:space="preserve"> PAGEREF _Toc500706012 \h </w:instrText>
            </w:r>
            <w:r>
              <w:rPr>
                <w:noProof/>
                <w:webHidden/>
              </w:rPr>
            </w:r>
            <w:r>
              <w:rPr>
                <w:noProof/>
                <w:webHidden/>
              </w:rPr>
              <w:fldChar w:fldCharType="separate"/>
            </w:r>
            <w:r>
              <w:rPr>
                <w:noProof/>
                <w:webHidden/>
              </w:rPr>
              <w:t>31</w:t>
            </w:r>
            <w:r>
              <w:rPr>
                <w:noProof/>
                <w:webHidden/>
              </w:rPr>
              <w:fldChar w:fldCharType="end"/>
            </w:r>
          </w:hyperlink>
        </w:p>
        <w:p w14:paraId="7B8664DB"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3" w:history="1">
            <w:r w:rsidRPr="00940A37">
              <w:rPr>
                <w:rStyle w:val="Hypertextovodkaz"/>
                <w:noProof/>
              </w:rPr>
              <w:t>2.1 Metodológia pre identifikáciu priorít</w:t>
            </w:r>
            <w:r>
              <w:rPr>
                <w:noProof/>
                <w:webHidden/>
              </w:rPr>
              <w:tab/>
            </w:r>
            <w:r>
              <w:rPr>
                <w:noProof/>
                <w:webHidden/>
              </w:rPr>
              <w:fldChar w:fldCharType="begin"/>
            </w:r>
            <w:r>
              <w:rPr>
                <w:noProof/>
                <w:webHidden/>
              </w:rPr>
              <w:instrText xml:space="preserve"> PAGEREF _Toc500706013 \h </w:instrText>
            </w:r>
            <w:r>
              <w:rPr>
                <w:noProof/>
                <w:webHidden/>
              </w:rPr>
            </w:r>
            <w:r>
              <w:rPr>
                <w:noProof/>
                <w:webHidden/>
              </w:rPr>
              <w:fldChar w:fldCharType="separate"/>
            </w:r>
            <w:r>
              <w:rPr>
                <w:noProof/>
                <w:webHidden/>
              </w:rPr>
              <w:t>31</w:t>
            </w:r>
            <w:r>
              <w:rPr>
                <w:noProof/>
                <w:webHidden/>
              </w:rPr>
              <w:fldChar w:fldCharType="end"/>
            </w:r>
          </w:hyperlink>
        </w:p>
        <w:p w14:paraId="6DD82B3A"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4" w:history="1">
            <w:r w:rsidRPr="00940A37">
              <w:rPr>
                <w:rStyle w:val="Hypertextovodkaz"/>
                <w:noProof/>
              </w:rPr>
              <w:t>2.2 Metodológia participatívneho procesu</w:t>
            </w:r>
            <w:r>
              <w:rPr>
                <w:noProof/>
                <w:webHidden/>
              </w:rPr>
              <w:tab/>
            </w:r>
            <w:r>
              <w:rPr>
                <w:noProof/>
                <w:webHidden/>
              </w:rPr>
              <w:fldChar w:fldCharType="begin"/>
            </w:r>
            <w:r>
              <w:rPr>
                <w:noProof/>
                <w:webHidden/>
              </w:rPr>
              <w:instrText xml:space="preserve"> PAGEREF _Toc500706014 \h </w:instrText>
            </w:r>
            <w:r>
              <w:rPr>
                <w:noProof/>
                <w:webHidden/>
              </w:rPr>
            </w:r>
            <w:r>
              <w:rPr>
                <w:noProof/>
                <w:webHidden/>
              </w:rPr>
              <w:fldChar w:fldCharType="separate"/>
            </w:r>
            <w:r>
              <w:rPr>
                <w:noProof/>
                <w:webHidden/>
              </w:rPr>
              <w:t>31</w:t>
            </w:r>
            <w:r>
              <w:rPr>
                <w:noProof/>
                <w:webHidden/>
              </w:rPr>
              <w:fldChar w:fldCharType="end"/>
            </w:r>
          </w:hyperlink>
        </w:p>
        <w:p w14:paraId="18FF5213"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5" w:history="1">
            <w:r w:rsidRPr="00940A37">
              <w:rPr>
                <w:rStyle w:val="Hypertextovodkaz"/>
                <w:noProof/>
              </w:rPr>
              <w:t>Prílohy</w:t>
            </w:r>
            <w:r>
              <w:rPr>
                <w:noProof/>
                <w:webHidden/>
              </w:rPr>
              <w:tab/>
            </w:r>
            <w:r>
              <w:rPr>
                <w:noProof/>
                <w:webHidden/>
              </w:rPr>
              <w:fldChar w:fldCharType="begin"/>
            </w:r>
            <w:r>
              <w:rPr>
                <w:noProof/>
                <w:webHidden/>
              </w:rPr>
              <w:instrText xml:space="preserve"> PAGEREF _Toc500706015 \h </w:instrText>
            </w:r>
            <w:r>
              <w:rPr>
                <w:noProof/>
                <w:webHidden/>
              </w:rPr>
            </w:r>
            <w:r>
              <w:rPr>
                <w:noProof/>
                <w:webHidden/>
              </w:rPr>
              <w:fldChar w:fldCharType="separate"/>
            </w:r>
            <w:r>
              <w:rPr>
                <w:noProof/>
                <w:webHidden/>
              </w:rPr>
              <w:t>32</w:t>
            </w:r>
            <w:r>
              <w:rPr>
                <w:noProof/>
                <w:webHidden/>
              </w:rPr>
              <w:fldChar w:fldCharType="end"/>
            </w:r>
          </w:hyperlink>
        </w:p>
        <w:p w14:paraId="15FC5C13"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6" w:history="1">
            <w:r w:rsidRPr="00940A37">
              <w:rPr>
                <w:rStyle w:val="Hypertextovodkaz"/>
                <w:noProof/>
              </w:rPr>
              <w:t>Príloha k téme 1</w:t>
            </w:r>
            <w:r>
              <w:rPr>
                <w:noProof/>
                <w:webHidden/>
              </w:rPr>
              <w:tab/>
            </w:r>
            <w:r>
              <w:rPr>
                <w:noProof/>
                <w:webHidden/>
              </w:rPr>
              <w:fldChar w:fldCharType="begin"/>
            </w:r>
            <w:r>
              <w:rPr>
                <w:noProof/>
                <w:webHidden/>
              </w:rPr>
              <w:instrText xml:space="preserve"> PAGEREF _Toc500706016 \h </w:instrText>
            </w:r>
            <w:r>
              <w:rPr>
                <w:noProof/>
                <w:webHidden/>
              </w:rPr>
            </w:r>
            <w:r>
              <w:rPr>
                <w:noProof/>
                <w:webHidden/>
              </w:rPr>
              <w:fldChar w:fldCharType="separate"/>
            </w:r>
            <w:r>
              <w:rPr>
                <w:noProof/>
                <w:webHidden/>
              </w:rPr>
              <w:t>32</w:t>
            </w:r>
            <w:r>
              <w:rPr>
                <w:noProof/>
                <w:webHidden/>
              </w:rPr>
              <w:fldChar w:fldCharType="end"/>
            </w:r>
          </w:hyperlink>
        </w:p>
        <w:p w14:paraId="0D650F16"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7" w:history="1">
            <w:r w:rsidRPr="00940A37">
              <w:rPr>
                <w:rStyle w:val="Hypertextovodkaz"/>
                <w:noProof/>
              </w:rPr>
              <w:t>Príloha k téme 2</w:t>
            </w:r>
            <w:r>
              <w:rPr>
                <w:noProof/>
                <w:webHidden/>
              </w:rPr>
              <w:tab/>
            </w:r>
            <w:r>
              <w:rPr>
                <w:noProof/>
                <w:webHidden/>
              </w:rPr>
              <w:fldChar w:fldCharType="begin"/>
            </w:r>
            <w:r>
              <w:rPr>
                <w:noProof/>
                <w:webHidden/>
              </w:rPr>
              <w:instrText xml:space="preserve"> PAGEREF _Toc500706017 \h </w:instrText>
            </w:r>
            <w:r>
              <w:rPr>
                <w:noProof/>
                <w:webHidden/>
              </w:rPr>
            </w:r>
            <w:r>
              <w:rPr>
                <w:noProof/>
                <w:webHidden/>
              </w:rPr>
              <w:fldChar w:fldCharType="separate"/>
            </w:r>
            <w:r>
              <w:rPr>
                <w:noProof/>
                <w:webHidden/>
              </w:rPr>
              <w:t>35</w:t>
            </w:r>
            <w:r>
              <w:rPr>
                <w:noProof/>
                <w:webHidden/>
              </w:rPr>
              <w:fldChar w:fldCharType="end"/>
            </w:r>
          </w:hyperlink>
        </w:p>
        <w:p w14:paraId="79006BB9"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8" w:history="1">
            <w:r w:rsidRPr="00940A37">
              <w:rPr>
                <w:rStyle w:val="Hypertextovodkaz"/>
                <w:noProof/>
              </w:rPr>
              <w:t>Príloha k téme 3</w:t>
            </w:r>
            <w:r>
              <w:rPr>
                <w:noProof/>
                <w:webHidden/>
              </w:rPr>
              <w:tab/>
            </w:r>
            <w:r>
              <w:rPr>
                <w:noProof/>
                <w:webHidden/>
              </w:rPr>
              <w:fldChar w:fldCharType="begin"/>
            </w:r>
            <w:r>
              <w:rPr>
                <w:noProof/>
                <w:webHidden/>
              </w:rPr>
              <w:instrText xml:space="preserve"> PAGEREF _Toc500706018 \h </w:instrText>
            </w:r>
            <w:r>
              <w:rPr>
                <w:noProof/>
                <w:webHidden/>
              </w:rPr>
            </w:r>
            <w:r>
              <w:rPr>
                <w:noProof/>
                <w:webHidden/>
              </w:rPr>
              <w:fldChar w:fldCharType="separate"/>
            </w:r>
            <w:r>
              <w:rPr>
                <w:noProof/>
                <w:webHidden/>
              </w:rPr>
              <w:t>36</w:t>
            </w:r>
            <w:r>
              <w:rPr>
                <w:noProof/>
                <w:webHidden/>
              </w:rPr>
              <w:fldChar w:fldCharType="end"/>
            </w:r>
          </w:hyperlink>
        </w:p>
        <w:p w14:paraId="203182E8"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19" w:history="1">
            <w:r w:rsidRPr="00940A37">
              <w:rPr>
                <w:rStyle w:val="Hypertextovodkaz"/>
                <w:noProof/>
              </w:rPr>
              <w:t>Príloha k téme 4</w:t>
            </w:r>
            <w:r>
              <w:rPr>
                <w:noProof/>
                <w:webHidden/>
              </w:rPr>
              <w:tab/>
            </w:r>
            <w:r>
              <w:rPr>
                <w:noProof/>
                <w:webHidden/>
              </w:rPr>
              <w:fldChar w:fldCharType="begin"/>
            </w:r>
            <w:r>
              <w:rPr>
                <w:noProof/>
                <w:webHidden/>
              </w:rPr>
              <w:instrText xml:space="preserve"> PAGEREF _Toc500706019 \h </w:instrText>
            </w:r>
            <w:r>
              <w:rPr>
                <w:noProof/>
                <w:webHidden/>
              </w:rPr>
            </w:r>
            <w:r>
              <w:rPr>
                <w:noProof/>
                <w:webHidden/>
              </w:rPr>
              <w:fldChar w:fldCharType="separate"/>
            </w:r>
            <w:r>
              <w:rPr>
                <w:noProof/>
                <w:webHidden/>
              </w:rPr>
              <w:t>38</w:t>
            </w:r>
            <w:r>
              <w:rPr>
                <w:noProof/>
                <w:webHidden/>
              </w:rPr>
              <w:fldChar w:fldCharType="end"/>
            </w:r>
          </w:hyperlink>
        </w:p>
        <w:p w14:paraId="2677CAEF" w14:textId="77777777" w:rsidR="00AE5A9F" w:rsidRDefault="00AE5A9F">
          <w:pPr>
            <w:pStyle w:val="Obsah3"/>
            <w:tabs>
              <w:tab w:val="right" w:leader="dot" w:pos="9010"/>
            </w:tabs>
            <w:rPr>
              <w:rFonts w:asciiTheme="minorHAnsi" w:eastAsiaTheme="minorEastAsia" w:hAnsiTheme="minorHAnsi" w:cstheme="minorBidi"/>
              <w:bCs w:val="0"/>
              <w:noProof/>
              <w:color w:val="auto"/>
              <w:sz w:val="22"/>
              <w:szCs w:val="22"/>
              <w:lang w:val="cs-CZ" w:eastAsia="cs-CZ"/>
            </w:rPr>
          </w:pPr>
          <w:hyperlink w:anchor="_Toc500706020" w:history="1">
            <w:r w:rsidRPr="00940A37">
              <w:rPr>
                <w:rStyle w:val="Hypertextovodkaz"/>
                <w:noProof/>
              </w:rPr>
              <w:t>Príloha k téme 5</w:t>
            </w:r>
            <w:r>
              <w:rPr>
                <w:noProof/>
                <w:webHidden/>
              </w:rPr>
              <w:tab/>
            </w:r>
            <w:r>
              <w:rPr>
                <w:noProof/>
                <w:webHidden/>
              </w:rPr>
              <w:fldChar w:fldCharType="begin"/>
            </w:r>
            <w:r>
              <w:rPr>
                <w:noProof/>
                <w:webHidden/>
              </w:rPr>
              <w:instrText xml:space="preserve"> PAGEREF _Toc500706020 \h </w:instrText>
            </w:r>
            <w:r>
              <w:rPr>
                <w:noProof/>
                <w:webHidden/>
              </w:rPr>
            </w:r>
            <w:r>
              <w:rPr>
                <w:noProof/>
                <w:webHidden/>
              </w:rPr>
              <w:fldChar w:fldCharType="separate"/>
            </w:r>
            <w:r>
              <w:rPr>
                <w:noProof/>
                <w:webHidden/>
              </w:rPr>
              <w:t>41</w:t>
            </w:r>
            <w:r>
              <w:rPr>
                <w:noProof/>
                <w:webHidden/>
              </w:rPr>
              <w:fldChar w:fldCharType="end"/>
            </w:r>
          </w:hyperlink>
        </w:p>
        <w:p w14:paraId="5CB105B2"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6021" w:history="1">
            <w:r w:rsidRPr="00940A37">
              <w:rPr>
                <w:rStyle w:val="Hypertextovodkaz"/>
                <w:noProof/>
              </w:rPr>
              <w:t>Zoznam tabuliek</w:t>
            </w:r>
            <w:r>
              <w:rPr>
                <w:noProof/>
                <w:webHidden/>
              </w:rPr>
              <w:tab/>
            </w:r>
            <w:r>
              <w:rPr>
                <w:noProof/>
                <w:webHidden/>
              </w:rPr>
              <w:fldChar w:fldCharType="begin"/>
            </w:r>
            <w:r>
              <w:rPr>
                <w:noProof/>
                <w:webHidden/>
              </w:rPr>
              <w:instrText xml:space="preserve"> PAGEREF _Toc500706021 \h </w:instrText>
            </w:r>
            <w:r>
              <w:rPr>
                <w:noProof/>
                <w:webHidden/>
              </w:rPr>
            </w:r>
            <w:r>
              <w:rPr>
                <w:noProof/>
                <w:webHidden/>
              </w:rPr>
              <w:fldChar w:fldCharType="separate"/>
            </w:r>
            <w:r>
              <w:rPr>
                <w:noProof/>
                <w:webHidden/>
              </w:rPr>
              <w:t>43</w:t>
            </w:r>
            <w:r>
              <w:rPr>
                <w:noProof/>
                <w:webHidden/>
              </w:rPr>
              <w:fldChar w:fldCharType="end"/>
            </w:r>
          </w:hyperlink>
        </w:p>
        <w:p w14:paraId="0E345376" w14:textId="77777777" w:rsidR="00AE5A9F" w:rsidRDefault="00AE5A9F">
          <w:pPr>
            <w:pStyle w:val="Obsah2"/>
            <w:tabs>
              <w:tab w:val="right" w:leader="dot" w:pos="9010"/>
            </w:tabs>
            <w:rPr>
              <w:rFonts w:asciiTheme="minorHAnsi" w:eastAsiaTheme="minorEastAsia" w:hAnsiTheme="minorHAnsi" w:cstheme="minorBidi"/>
              <w:bCs w:val="0"/>
              <w:noProof/>
              <w:color w:val="auto"/>
              <w:sz w:val="22"/>
              <w:szCs w:val="22"/>
              <w:lang w:val="cs-CZ" w:eastAsia="cs-CZ"/>
            </w:rPr>
          </w:pPr>
          <w:hyperlink w:anchor="_Toc500706022" w:history="1">
            <w:r w:rsidRPr="00940A37">
              <w:rPr>
                <w:rStyle w:val="Hypertextovodkaz"/>
                <w:noProof/>
              </w:rPr>
              <w:t>Zoznam grafov</w:t>
            </w:r>
            <w:r>
              <w:rPr>
                <w:noProof/>
                <w:webHidden/>
              </w:rPr>
              <w:tab/>
            </w:r>
            <w:r>
              <w:rPr>
                <w:noProof/>
                <w:webHidden/>
              </w:rPr>
              <w:fldChar w:fldCharType="begin"/>
            </w:r>
            <w:r>
              <w:rPr>
                <w:noProof/>
                <w:webHidden/>
              </w:rPr>
              <w:instrText xml:space="preserve"> PAGEREF _Toc500706022 \h </w:instrText>
            </w:r>
            <w:r>
              <w:rPr>
                <w:noProof/>
                <w:webHidden/>
              </w:rPr>
            </w:r>
            <w:r>
              <w:rPr>
                <w:noProof/>
                <w:webHidden/>
              </w:rPr>
              <w:fldChar w:fldCharType="separate"/>
            </w:r>
            <w:r>
              <w:rPr>
                <w:noProof/>
                <w:webHidden/>
              </w:rPr>
              <w:t>43</w:t>
            </w:r>
            <w:r>
              <w:rPr>
                <w:noProof/>
                <w:webHidden/>
              </w:rPr>
              <w:fldChar w:fldCharType="end"/>
            </w:r>
          </w:hyperlink>
        </w:p>
        <w:p w14:paraId="25820C1B" w14:textId="52E6CF72" w:rsidR="00957F77" w:rsidRDefault="00957F77">
          <w:r>
            <w:rPr>
              <w:b/>
            </w:rPr>
            <w:fldChar w:fldCharType="end"/>
          </w:r>
        </w:p>
      </w:sdtContent>
    </w:sdt>
    <w:p w14:paraId="2765E73B" w14:textId="5AF9AFDA" w:rsidR="00957F77" w:rsidRDefault="00957F77" w:rsidP="00A015C3"/>
    <w:p w14:paraId="1E86002B" w14:textId="17C783B0" w:rsidR="004542AD" w:rsidRPr="00FB390E" w:rsidRDefault="004542AD" w:rsidP="004542AD">
      <w:pPr>
        <w:pStyle w:val="Zkladntext"/>
        <w:spacing w:beforeLines="120" w:before="288" w:afterLines="120" w:after="288" w:line="20" w:lineRule="atLeast"/>
        <w:rPr>
          <w:b/>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214"/>
      </w:tblGrid>
      <w:tr w:rsidR="004542AD" w:rsidRPr="00FB390E" w14:paraId="2F11F23C" w14:textId="77777777" w:rsidTr="00024B70">
        <w:tc>
          <w:tcPr>
            <w:tcW w:w="9214" w:type="dxa"/>
            <w:shd w:val="clear" w:color="auto" w:fill="E7E6E6" w:themeFill="background2"/>
          </w:tcPr>
          <w:p w14:paraId="15C12E17" w14:textId="51895C8C" w:rsidR="004542AD" w:rsidRPr="00FB390E" w:rsidRDefault="004542AD" w:rsidP="00024B70">
            <w:pPr>
              <w:spacing w:beforeLines="120" w:before="288" w:afterLines="120" w:after="288" w:line="20" w:lineRule="atLeast"/>
              <w:rPr>
                <w:rFonts w:eastAsia="MS Mincho"/>
                <w:b/>
                <w:szCs w:val="22"/>
              </w:rPr>
            </w:pPr>
            <w:r>
              <w:rPr>
                <w:rFonts w:eastAsia="MS Mincho"/>
                <w:b/>
                <w:szCs w:val="22"/>
              </w:rPr>
              <w:t>Expertný tím koordinovaný Prognostickým ústavom SAV</w:t>
            </w:r>
          </w:p>
        </w:tc>
      </w:tr>
      <w:tr w:rsidR="004542AD" w:rsidRPr="00FB390E" w14:paraId="734F156B" w14:textId="77777777" w:rsidTr="004542AD">
        <w:trPr>
          <w:trHeight w:val="284"/>
        </w:trPr>
        <w:tc>
          <w:tcPr>
            <w:tcW w:w="9214" w:type="dxa"/>
          </w:tcPr>
          <w:p w14:paraId="5E86C561" w14:textId="18379A62" w:rsidR="004542AD" w:rsidRPr="00FB390E" w:rsidRDefault="004542AD" w:rsidP="00024B70">
            <w:pPr>
              <w:spacing w:beforeLines="120" w:before="288" w:afterLines="120" w:after="288" w:line="20" w:lineRule="atLeast"/>
              <w:rPr>
                <w:szCs w:val="22"/>
              </w:rPr>
            </w:pPr>
            <w:r w:rsidRPr="00FB390E">
              <w:rPr>
                <w:szCs w:val="22"/>
              </w:rPr>
              <w:t>Mgr.</w:t>
            </w:r>
            <w:r>
              <w:rPr>
                <w:szCs w:val="22"/>
              </w:rPr>
              <w:t xml:space="preserve"> Richard Filčák, MSc. PhD. -</w:t>
            </w:r>
            <w:r w:rsidRPr="00FB390E">
              <w:rPr>
                <w:szCs w:val="22"/>
              </w:rPr>
              <w:t xml:space="preserve"> </w:t>
            </w:r>
            <w:r>
              <w:rPr>
                <w:szCs w:val="22"/>
              </w:rPr>
              <w:t>koordinátor</w:t>
            </w:r>
            <w:r w:rsidRPr="00FB390E">
              <w:rPr>
                <w:szCs w:val="22"/>
              </w:rPr>
              <w:t xml:space="preserve"> tímu</w:t>
            </w:r>
          </w:p>
        </w:tc>
      </w:tr>
      <w:tr w:rsidR="004542AD" w:rsidRPr="00FB390E" w14:paraId="585705FF" w14:textId="77777777" w:rsidTr="004542AD">
        <w:trPr>
          <w:trHeight w:val="889"/>
        </w:trPr>
        <w:tc>
          <w:tcPr>
            <w:tcW w:w="9214" w:type="dxa"/>
            <w:vAlign w:val="center"/>
          </w:tcPr>
          <w:p w14:paraId="3BF59B63" w14:textId="23AB3405" w:rsidR="004542AD" w:rsidRPr="00FB390E" w:rsidRDefault="000550B0" w:rsidP="00024B70">
            <w:pPr>
              <w:spacing w:beforeLines="120" w:before="288" w:afterLines="120" w:after="288" w:line="20" w:lineRule="atLeast"/>
              <w:rPr>
                <w:szCs w:val="22"/>
              </w:rPr>
            </w:pPr>
            <w:r>
              <w:rPr>
                <w:szCs w:val="22"/>
              </w:rPr>
              <w:t>d</w:t>
            </w:r>
            <w:r w:rsidR="004542AD" w:rsidRPr="00FB390E">
              <w:rPr>
                <w:szCs w:val="22"/>
              </w:rPr>
              <w:t xml:space="preserve">oc. Ing. Vladimír </w:t>
            </w:r>
            <w:r w:rsidR="004542AD">
              <w:rPr>
                <w:szCs w:val="22"/>
              </w:rPr>
              <w:t xml:space="preserve">Baláž, PhD., DrSc. </w:t>
            </w:r>
          </w:p>
        </w:tc>
      </w:tr>
      <w:tr w:rsidR="004542AD" w:rsidRPr="00FB390E" w14:paraId="685A681E" w14:textId="77777777" w:rsidTr="004542AD">
        <w:trPr>
          <w:trHeight w:val="284"/>
        </w:trPr>
        <w:tc>
          <w:tcPr>
            <w:tcW w:w="9214" w:type="dxa"/>
          </w:tcPr>
          <w:p w14:paraId="1D8DEA18" w14:textId="730428CD" w:rsidR="004542AD" w:rsidRPr="00FB390E" w:rsidRDefault="004542AD" w:rsidP="00024B70">
            <w:pPr>
              <w:spacing w:beforeLines="120" w:before="288" w:afterLines="120" w:after="288" w:line="20" w:lineRule="atLeast"/>
              <w:rPr>
                <w:szCs w:val="22"/>
              </w:rPr>
            </w:pPr>
            <w:r>
              <w:rPr>
                <w:szCs w:val="22"/>
              </w:rPr>
              <w:t xml:space="preserve">Ing. Miroslav Balog, PhD. </w:t>
            </w:r>
          </w:p>
        </w:tc>
      </w:tr>
      <w:tr w:rsidR="004542AD" w:rsidRPr="00FB390E" w14:paraId="4CEFFA4D" w14:textId="77777777" w:rsidTr="004542AD">
        <w:trPr>
          <w:trHeight w:val="284"/>
        </w:trPr>
        <w:tc>
          <w:tcPr>
            <w:tcW w:w="9214" w:type="dxa"/>
          </w:tcPr>
          <w:p w14:paraId="6F593916" w14:textId="73975784" w:rsidR="004542AD" w:rsidRPr="00FB390E" w:rsidRDefault="004542AD" w:rsidP="00024B70">
            <w:pPr>
              <w:spacing w:beforeLines="120" w:before="288" w:afterLines="120" w:after="288" w:line="20" w:lineRule="atLeast"/>
              <w:rPr>
                <w:szCs w:val="22"/>
              </w:rPr>
            </w:pPr>
            <w:r w:rsidRPr="00FB390E">
              <w:rPr>
                <w:szCs w:val="22"/>
              </w:rPr>
              <w:t>Ing., Mgr. Daniel</w:t>
            </w:r>
            <w:r>
              <w:rPr>
                <w:szCs w:val="22"/>
              </w:rPr>
              <w:t xml:space="preserve"> Škobla, PhD. </w:t>
            </w:r>
          </w:p>
        </w:tc>
      </w:tr>
      <w:tr w:rsidR="004542AD" w:rsidRPr="00FB390E" w14:paraId="2C2A3910" w14:textId="77777777" w:rsidTr="004542AD">
        <w:trPr>
          <w:trHeight w:val="284"/>
        </w:trPr>
        <w:tc>
          <w:tcPr>
            <w:tcW w:w="9214" w:type="dxa"/>
          </w:tcPr>
          <w:p w14:paraId="2D6238CF" w14:textId="132A1C38" w:rsidR="004542AD" w:rsidRPr="00FB390E" w:rsidRDefault="004542AD" w:rsidP="00024B70">
            <w:pPr>
              <w:spacing w:beforeLines="120" w:before="288" w:afterLines="120" w:after="288" w:line="20" w:lineRule="atLeast"/>
              <w:rPr>
                <w:szCs w:val="22"/>
              </w:rPr>
            </w:pPr>
            <w:r>
              <w:rPr>
                <w:szCs w:val="22"/>
              </w:rPr>
              <w:t xml:space="preserve">Zuzana Poláčková, MA. </w:t>
            </w:r>
          </w:p>
        </w:tc>
      </w:tr>
    </w:tbl>
    <w:p w14:paraId="6ADBE8D0" w14:textId="77777777" w:rsidR="004542AD" w:rsidRPr="00FB390E" w:rsidRDefault="004542AD" w:rsidP="004542AD">
      <w:pPr>
        <w:pStyle w:val="Zkladntext"/>
        <w:spacing w:beforeLines="120" w:before="288" w:afterLines="120" w:after="288" w:line="20" w:lineRule="atLeast"/>
        <w:rPr>
          <w:b/>
        </w:rPr>
      </w:pPr>
    </w:p>
    <w:p w14:paraId="18ED5717" w14:textId="4E653BDB" w:rsidR="0091767A" w:rsidRDefault="0091767A">
      <w:pPr>
        <w:spacing w:after="0"/>
        <w:jc w:val="left"/>
        <w:rPr>
          <w:rFonts w:eastAsiaTheme="majorEastAsia"/>
          <w:b/>
          <w:bCs w:val="0"/>
          <w:color w:val="auto"/>
          <w:sz w:val="32"/>
          <w:szCs w:val="32"/>
        </w:rPr>
      </w:pPr>
      <w:r>
        <w:br w:type="page"/>
      </w:r>
    </w:p>
    <w:p w14:paraId="2B32C181" w14:textId="76F8072E" w:rsidR="00EC7205" w:rsidRDefault="006E0994" w:rsidP="00EC7205">
      <w:pPr>
        <w:pStyle w:val="Nadpis1"/>
      </w:pPr>
      <w:bookmarkStart w:id="0" w:name="_Toc500705983"/>
      <w:r>
        <w:lastRenderedPageBreak/>
        <w:t>Úvod</w:t>
      </w:r>
      <w:bookmarkEnd w:id="0"/>
    </w:p>
    <w:p w14:paraId="25389723" w14:textId="5E1D848F" w:rsidR="00B43513" w:rsidRDefault="00CF5EBE" w:rsidP="00B43513">
      <w:r>
        <w:t>Cieľom štúdie je n</w:t>
      </w:r>
      <w:r w:rsidR="00B26EDE" w:rsidRPr="00874D26">
        <w:t>a základe analýz</w:t>
      </w:r>
      <w:r w:rsidR="00E25759" w:rsidRPr="00874D26">
        <w:t>y</w:t>
      </w:r>
      <w:r w:rsidR="00B26EDE" w:rsidRPr="00874D26">
        <w:t xml:space="preserve"> globálnych megatrendov a lokálnych trendov </w:t>
      </w:r>
      <w:r>
        <w:t>s</w:t>
      </w:r>
      <w:r w:rsidR="00B26EDE" w:rsidRPr="00874D26">
        <w:t>formul</w:t>
      </w:r>
      <w:r>
        <w:t>ovať</w:t>
      </w:r>
      <w:r w:rsidR="00B26EDE" w:rsidRPr="00874D26">
        <w:t xml:space="preserve"> základné východ</w:t>
      </w:r>
      <w:r w:rsidR="00EC7205" w:rsidRPr="00874D26">
        <w:t xml:space="preserve">iská pre prípravu </w:t>
      </w:r>
      <w:r w:rsidR="00E25759" w:rsidRPr="00874D26">
        <w:t xml:space="preserve">národných priorít implementácie </w:t>
      </w:r>
      <w:r w:rsidR="00EC7205" w:rsidRPr="00874D26">
        <w:t>Agendy 2030</w:t>
      </w:r>
      <w:r w:rsidR="00E25759" w:rsidRPr="00874D26">
        <w:t xml:space="preserve"> </w:t>
      </w:r>
      <w:r w:rsidR="00AC78DF">
        <w:br/>
      </w:r>
      <w:r w:rsidR="00E25759" w:rsidRPr="00874D26">
        <w:t>pre udržateľný rozvoj</w:t>
      </w:r>
      <w:r w:rsidR="00B43513">
        <w:t>. Štúdia je</w:t>
      </w:r>
      <w:r w:rsidR="00B43513" w:rsidRPr="00B43513">
        <w:t xml:space="preserve"> </w:t>
      </w:r>
      <w:r>
        <w:t xml:space="preserve">prvotným </w:t>
      </w:r>
      <w:r w:rsidR="00B43513" w:rsidRPr="00B43513">
        <w:t xml:space="preserve">expertným vstupom do širokej verejnej diskusie </w:t>
      </w:r>
      <w:r w:rsidR="00193915">
        <w:br/>
      </w:r>
      <w:r w:rsidR="00B43513" w:rsidRPr="00B43513">
        <w:t xml:space="preserve">o dlhodobých </w:t>
      </w:r>
      <w:r w:rsidR="00B43513">
        <w:t xml:space="preserve">národných </w:t>
      </w:r>
      <w:r w:rsidR="00B43513" w:rsidRPr="00B43513">
        <w:t>prioritách do roku 2030</w:t>
      </w:r>
      <w:r>
        <w:t>,</w:t>
      </w:r>
      <w:r w:rsidRPr="00CF5EBE">
        <w:t xml:space="preserve"> </w:t>
      </w:r>
      <w:r w:rsidRPr="00B43513">
        <w:t>ktor</w:t>
      </w:r>
      <w:r>
        <w:t>á</w:t>
      </w:r>
      <w:r w:rsidRPr="00B43513">
        <w:t xml:space="preserve"> </w:t>
      </w:r>
      <w:r>
        <w:t>je naplánovaná</w:t>
      </w:r>
      <w:r w:rsidRPr="00B43513">
        <w:t xml:space="preserve"> na </w:t>
      </w:r>
      <w:r w:rsidR="00AC78DF">
        <w:t>začiatok roku</w:t>
      </w:r>
      <w:r w:rsidRPr="00B43513">
        <w:t xml:space="preserve"> </w:t>
      </w:r>
      <w:r>
        <w:t>2018</w:t>
      </w:r>
      <w:r w:rsidR="00B43513" w:rsidRPr="00B43513">
        <w:t xml:space="preserve">. Materiál navrhuje a </w:t>
      </w:r>
      <w:r w:rsidR="001004F7">
        <w:t>analyzuje</w:t>
      </w:r>
      <w:r w:rsidR="00B43513" w:rsidRPr="00B43513">
        <w:t xml:space="preserve"> päť kľúčových tém, ktoré budú ďalej posudzované a upravené v rámci participatívneho procesu</w:t>
      </w:r>
      <w:r>
        <w:t xml:space="preserve"> so zapojením </w:t>
      </w:r>
      <w:r w:rsidR="00A53133">
        <w:t>predstaviteľov</w:t>
      </w:r>
      <w:r w:rsidR="00193915">
        <w:t xml:space="preserve"> </w:t>
      </w:r>
      <w:r>
        <w:t>všetkých zainteresovaných aktérov</w:t>
      </w:r>
      <w:r w:rsidR="00B43513" w:rsidRPr="00B43513">
        <w:t>.</w:t>
      </w:r>
    </w:p>
    <w:p w14:paraId="7026D9D8" w14:textId="77777777" w:rsidR="00AC78DF" w:rsidRDefault="00AC78DF" w:rsidP="00B43513"/>
    <w:p w14:paraId="57C04B5B" w14:textId="77777777" w:rsidR="00AC78DF" w:rsidRDefault="00AC78DF">
      <w:pPr>
        <w:spacing w:after="0"/>
        <w:jc w:val="left"/>
        <w:rPr>
          <w:rFonts w:ascii="Cambria" w:eastAsiaTheme="majorEastAsia" w:hAnsi="Cambria"/>
          <w:b/>
          <w:bCs w:val="0"/>
          <w:color w:val="1F4E79" w:themeColor="accent5" w:themeShade="80"/>
          <w:sz w:val="40"/>
          <w:szCs w:val="40"/>
        </w:rPr>
      </w:pPr>
      <w:r>
        <w:br w:type="page"/>
      </w:r>
    </w:p>
    <w:p w14:paraId="6E65565E" w14:textId="30340C15" w:rsidR="00AC78DF" w:rsidRDefault="00AC78DF" w:rsidP="00AC78DF">
      <w:pPr>
        <w:pStyle w:val="Nadpis1"/>
      </w:pPr>
      <w:bookmarkStart w:id="1" w:name="_Toc500705984"/>
      <w:r>
        <w:lastRenderedPageBreak/>
        <w:t>Zhrnutie</w:t>
      </w:r>
      <w:bookmarkEnd w:id="1"/>
    </w:p>
    <w:p w14:paraId="6AB471F2" w14:textId="719059B4" w:rsidR="00B26EDE" w:rsidRPr="00874D26" w:rsidRDefault="00B26EDE" w:rsidP="00332AC6">
      <w:pPr>
        <w:rPr>
          <w:rStyle w:val="hps"/>
        </w:rPr>
      </w:pPr>
      <w:r w:rsidRPr="00874D26">
        <w:t>Strategickou výzvou</w:t>
      </w:r>
      <w:r w:rsidR="00B43513">
        <w:t xml:space="preserve">, ktorou sa táto štúdia zaoberá, </w:t>
      </w:r>
      <w:r w:rsidRPr="00874D26">
        <w:t xml:space="preserve">je </w:t>
      </w:r>
      <w:r w:rsidRPr="00874D26">
        <w:rPr>
          <w:rStyle w:val="hps"/>
        </w:rPr>
        <w:t>prispieť</w:t>
      </w:r>
      <w:r w:rsidRPr="00874D26">
        <w:t xml:space="preserve"> </w:t>
      </w:r>
      <w:r w:rsidRPr="00874D26">
        <w:rPr>
          <w:rStyle w:val="hps"/>
        </w:rPr>
        <w:t xml:space="preserve">k budovaniu udržateľnej </w:t>
      </w:r>
      <w:r w:rsidR="00B43513">
        <w:rPr>
          <w:rStyle w:val="hps"/>
        </w:rPr>
        <w:t xml:space="preserve">spoločnosti a </w:t>
      </w:r>
      <w:r w:rsidRPr="00874D26">
        <w:rPr>
          <w:rStyle w:val="hps"/>
        </w:rPr>
        <w:t>ekonomi</w:t>
      </w:r>
      <w:r w:rsidR="00B43513">
        <w:rPr>
          <w:rStyle w:val="hps"/>
        </w:rPr>
        <w:t>k</w:t>
      </w:r>
      <w:r w:rsidR="00736B22">
        <w:rPr>
          <w:rStyle w:val="hps"/>
        </w:rPr>
        <w:t>y založenej na princípe</w:t>
      </w:r>
      <w:r w:rsidR="00D45C69">
        <w:rPr>
          <w:rStyle w:val="hps"/>
        </w:rPr>
        <w:t xml:space="preserve"> dobrej správy</w:t>
      </w:r>
      <w:r w:rsidRPr="00874D26">
        <w:rPr>
          <w:rStyle w:val="hps"/>
        </w:rPr>
        <w:t xml:space="preserve"> a</w:t>
      </w:r>
      <w:r w:rsidR="00736B22">
        <w:rPr>
          <w:rStyle w:val="hps"/>
        </w:rPr>
        <w:t> na rovnováh</w:t>
      </w:r>
      <w:r w:rsidR="005D2F35">
        <w:rPr>
          <w:rStyle w:val="hps"/>
        </w:rPr>
        <w:t xml:space="preserve">e medzi ekonomickými, sociálnymi a environmentálnymi aspektmi rozvoja. </w:t>
      </w:r>
      <w:r w:rsidRPr="00874D26">
        <w:rPr>
          <w:rStyle w:val="hps"/>
        </w:rPr>
        <w:t xml:space="preserve">SR </w:t>
      </w:r>
      <w:r w:rsidR="005D2F35">
        <w:rPr>
          <w:rStyle w:val="hps"/>
        </w:rPr>
        <w:t>musí</w:t>
      </w:r>
      <w:r w:rsidRPr="00874D26">
        <w:rPr>
          <w:rStyle w:val="hps"/>
        </w:rPr>
        <w:t xml:space="preserve"> </w:t>
      </w:r>
      <w:r w:rsidR="005D2F35">
        <w:rPr>
          <w:rStyle w:val="hps"/>
        </w:rPr>
        <w:t>smerovať k plnej a produktívnej zamestnanosti, potrebuje vyrovnaný systém</w:t>
      </w:r>
      <w:r w:rsidR="005D2F35" w:rsidRPr="00874D26">
        <w:rPr>
          <w:rStyle w:val="hps"/>
        </w:rPr>
        <w:t xml:space="preserve"> financovania štátu a jeho aktivít </w:t>
      </w:r>
      <w:r w:rsidR="005D2F35">
        <w:rPr>
          <w:rStyle w:val="hps"/>
        </w:rPr>
        <w:t xml:space="preserve">a </w:t>
      </w:r>
      <w:r w:rsidRPr="00874D26">
        <w:rPr>
          <w:rStyle w:val="hps"/>
        </w:rPr>
        <w:t>silný a konkurencieschopný priemysel, obchod a služby. Zároveň ale potrebuje chr</w:t>
      </w:r>
      <w:r w:rsidR="007B656D" w:rsidRPr="00874D26">
        <w:rPr>
          <w:rStyle w:val="hps"/>
        </w:rPr>
        <w:t xml:space="preserve">ániť svoje prírodné bohatstvo, </w:t>
      </w:r>
      <w:r w:rsidRPr="00874D26">
        <w:rPr>
          <w:rStyle w:val="hps"/>
        </w:rPr>
        <w:t>biologickú rozmanitosť</w:t>
      </w:r>
      <w:r w:rsidR="006E2E8C">
        <w:rPr>
          <w:rStyle w:val="hps"/>
        </w:rPr>
        <w:t>, kultúrne dedičstvo</w:t>
      </w:r>
      <w:r w:rsidR="007B656D" w:rsidRPr="00874D26">
        <w:rPr>
          <w:rStyle w:val="hps"/>
        </w:rPr>
        <w:t xml:space="preserve"> a </w:t>
      </w:r>
      <w:r w:rsidR="00E25759" w:rsidRPr="00874D26">
        <w:rPr>
          <w:rStyle w:val="hps"/>
        </w:rPr>
        <w:t xml:space="preserve">zmierniť </w:t>
      </w:r>
      <w:r w:rsidR="007B656D" w:rsidRPr="00874D26">
        <w:rPr>
          <w:rStyle w:val="hps"/>
        </w:rPr>
        <w:t xml:space="preserve">sociálne a regionálne rozdiely. </w:t>
      </w:r>
    </w:p>
    <w:p w14:paraId="2784420F" w14:textId="4BB4F749" w:rsidR="00B26EDE" w:rsidRPr="00874D26" w:rsidRDefault="00B26EDE" w:rsidP="00BA2ED5">
      <w:pPr>
        <w:rPr>
          <w:rStyle w:val="hps"/>
        </w:rPr>
      </w:pPr>
      <w:r w:rsidRPr="00874D26">
        <w:t>Dôležitou súčasťou transformácie je zvyšovanie konkurencieschopnosti Slovenska na medzinárodných trhoch a vytváranie pracovných príležitostí pre obyvateľov.</w:t>
      </w:r>
      <w:r w:rsidRPr="00874D26">
        <w:rPr>
          <w:rStyle w:val="hps"/>
        </w:rPr>
        <w:t xml:space="preserve"> SR čelí nepriaznivým demografickým a sociálnym trendom. Podiel produktívnej populácie na celkovom počte obyvateľov klesá a </w:t>
      </w:r>
      <w:r w:rsidR="00234300">
        <w:rPr>
          <w:rStyle w:val="hps"/>
        </w:rPr>
        <w:t>zároveň rastie počet ľudí, ktorí</w:t>
      </w:r>
      <w:r w:rsidRPr="00874D26">
        <w:rPr>
          <w:rStyle w:val="hps"/>
        </w:rPr>
        <w:t xml:space="preserve"> sú dlhodobo nezamestnaní a nevedia nájsť uplatnenie na trhu práce. </w:t>
      </w:r>
      <w:r w:rsidR="00BA2ED5" w:rsidRPr="00BA2ED5">
        <w:rPr>
          <w:rStyle w:val="hps"/>
        </w:rPr>
        <w:t xml:space="preserve">Udržateľná ekonomika si bude vyžadovať zvýšenie kvality a zabezpečenie </w:t>
      </w:r>
      <w:proofErr w:type="spellStart"/>
      <w:r w:rsidR="00BA2ED5" w:rsidRPr="00BA2ED5">
        <w:rPr>
          <w:rStyle w:val="hps"/>
        </w:rPr>
        <w:t>inkluzívneho</w:t>
      </w:r>
      <w:proofErr w:type="spellEnd"/>
      <w:r w:rsidR="00BA2ED5" w:rsidRPr="00BA2ED5">
        <w:rPr>
          <w:rStyle w:val="hps"/>
        </w:rPr>
        <w:t xml:space="preserve"> vzdelávania pre všetkých pre potreby trhu práce, ako aj pre potreby modernej digitálnej ekonomiky a</w:t>
      </w:r>
      <w:r w:rsidR="00BA2ED5">
        <w:rPr>
          <w:rStyle w:val="hps"/>
        </w:rPr>
        <w:t> </w:t>
      </w:r>
      <w:r w:rsidR="00BA2ED5" w:rsidRPr="00BA2ED5">
        <w:rPr>
          <w:rStyle w:val="hps"/>
        </w:rPr>
        <w:t>spoločnosti</w:t>
      </w:r>
      <w:r w:rsidR="00BA2ED5">
        <w:rPr>
          <w:rStyle w:val="hps"/>
        </w:rPr>
        <w:t>.</w:t>
      </w:r>
    </w:p>
    <w:p w14:paraId="28EEBC97" w14:textId="224FBF28" w:rsidR="007C7656" w:rsidRPr="00874D26" w:rsidRDefault="00B26EDE" w:rsidP="00332AC6">
      <w:pPr>
        <w:rPr>
          <w:rStyle w:val="hps"/>
        </w:rPr>
      </w:pPr>
      <w:r w:rsidRPr="00874D26">
        <w:rPr>
          <w:rStyle w:val="hps"/>
        </w:rPr>
        <w:t xml:space="preserve">Zvyšujúci sa tlak na spotrebu prírodných zdrojov a stúpajúce ceny energií, spolu so sprísňovaním medzinárodných štandardov v oblasti emisií skleníkových plynov budú znamenať silné stimuly pre zvyšovanie efektivity hospodárstva, znižovanie spotreby vstupov a minimalizovanie odpadov. </w:t>
      </w:r>
      <w:r w:rsidR="00114995" w:rsidRPr="00874D26">
        <w:t xml:space="preserve">Ciele do roku 2030 by mali </w:t>
      </w:r>
      <w:r w:rsidRPr="00874D26">
        <w:t xml:space="preserve"> podporiť udržateľný ekonomický rozvoj, ktorý bude dosiahnutý integrovaným spôsobom a za pomoci rozvoja konceptu obehovej ekonomiky. </w:t>
      </w:r>
      <w:r w:rsidRPr="00874D26">
        <w:rPr>
          <w:rStyle w:val="hps"/>
        </w:rPr>
        <w:t>Jedná</w:t>
      </w:r>
      <w:r w:rsidRPr="00874D26">
        <w:t xml:space="preserve"> </w:t>
      </w:r>
      <w:r w:rsidRPr="00874D26">
        <w:rPr>
          <w:rStyle w:val="hps"/>
        </w:rPr>
        <w:t>sa</w:t>
      </w:r>
      <w:r w:rsidRPr="00874D26">
        <w:t xml:space="preserve"> </w:t>
      </w:r>
      <w:r w:rsidRPr="00874D26">
        <w:rPr>
          <w:rStyle w:val="hps"/>
        </w:rPr>
        <w:t>o</w:t>
      </w:r>
      <w:r w:rsidRPr="00874D26">
        <w:t> </w:t>
      </w:r>
      <w:r w:rsidRPr="00874D26">
        <w:rPr>
          <w:rStyle w:val="hps"/>
        </w:rPr>
        <w:t>nový ekonomický</w:t>
      </w:r>
      <w:r w:rsidRPr="00874D26">
        <w:t xml:space="preserve"> </w:t>
      </w:r>
      <w:r w:rsidRPr="00874D26">
        <w:rPr>
          <w:rStyle w:val="hps"/>
        </w:rPr>
        <w:t>model podporovaný EÚ, ktorý</w:t>
      </w:r>
      <w:r w:rsidRPr="00874D26">
        <w:t xml:space="preserve"> </w:t>
      </w:r>
      <w:r w:rsidRPr="00874D26">
        <w:rPr>
          <w:rStyle w:val="hps"/>
        </w:rPr>
        <w:t>je</w:t>
      </w:r>
      <w:r w:rsidRPr="00874D26">
        <w:t xml:space="preserve"> rovnako </w:t>
      </w:r>
      <w:r w:rsidRPr="00874D26">
        <w:rPr>
          <w:rStyle w:val="hps"/>
        </w:rPr>
        <w:t>ambiciózny ako aj praktický</w:t>
      </w:r>
      <w:r w:rsidRPr="00874D26">
        <w:t xml:space="preserve">. </w:t>
      </w:r>
      <w:r w:rsidRPr="00874D26">
        <w:rPr>
          <w:rStyle w:val="hps"/>
        </w:rPr>
        <w:t>Cieľom je</w:t>
      </w:r>
      <w:r w:rsidRPr="00874D26">
        <w:t xml:space="preserve"> </w:t>
      </w:r>
      <w:r w:rsidRPr="00874D26">
        <w:rPr>
          <w:rStyle w:val="hps"/>
        </w:rPr>
        <w:t>ekonomika</w:t>
      </w:r>
      <w:r w:rsidRPr="00874D26">
        <w:t xml:space="preserve"> fungujúca spôsobom, </w:t>
      </w:r>
      <w:r w:rsidRPr="00874D26">
        <w:rPr>
          <w:rStyle w:val="hps"/>
        </w:rPr>
        <w:t>ktorý je</w:t>
      </w:r>
      <w:r w:rsidRPr="00874D26">
        <w:t xml:space="preserve"> </w:t>
      </w:r>
      <w:r w:rsidRPr="00874D26">
        <w:rPr>
          <w:rStyle w:val="hps"/>
        </w:rPr>
        <w:t>bezpečný pre zachovanie</w:t>
      </w:r>
      <w:r w:rsidRPr="00874D26">
        <w:t xml:space="preserve"> </w:t>
      </w:r>
      <w:r w:rsidRPr="00874D26">
        <w:rPr>
          <w:rStyle w:val="hps"/>
        </w:rPr>
        <w:t>ekosystémov</w:t>
      </w:r>
      <w:r w:rsidRPr="00874D26">
        <w:t xml:space="preserve">, ale zároveň vhodný pre rozvoj </w:t>
      </w:r>
      <w:r w:rsidRPr="00874D26">
        <w:rPr>
          <w:rStyle w:val="hps"/>
        </w:rPr>
        <w:t>inovácií. Rozvoj informačných technológií a nových spôsobov napĺňania potrieb obyvateľov by mal viesť k dematerializácii niektorých prvkov produkčnej spotreby</w:t>
      </w:r>
      <w:r w:rsidR="00E25759" w:rsidRPr="00874D26">
        <w:rPr>
          <w:rStyle w:val="hps"/>
        </w:rPr>
        <w:t xml:space="preserve"> a spoluvytvárať</w:t>
      </w:r>
      <w:r w:rsidRPr="00874D26">
        <w:rPr>
          <w:rStyle w:val="hps"/>
        </w:rPr>
        <w:t xml:space="preserve"> vízi</w:t>
      </w:r>
      <w:r w:rsidR="00E25759" w:rsidRPr="00874D26">
        <w:rPr>
          <w:rStyle w:val="hps"/>
        </w:rPr>
        <w:t>u</w:t>
      </w:r>
      <w:r w:rsidRPr="00874D26">
        <w:rPr>
          <w:rStyle w:val="hps"/>
        </w:rPr>
        <w:t xml:space="preserve"> Slovenska ako krajiny efektívne využívajúcej svoje zdroje a smerujúcej k</w:t>
      </w:r>
      <w:r w:rsidR="007B656D" w:rsidRPr="00874D26">
        <w:rPr>
          <w:rStyle w:val="hps"/>
        </w:rPr>
        <w:t xml:space="preserve"> obehovej ekonomike a </w:t>
      </w:r>
      <w:r w:rsidRPr="00874D26">
        <w:rPr>
          <w:rStyle w:val="hps"/>
        </w:rPr>
        <w:t xml:space="preserve">nulovému odpadu. </w:t>
      </w:r>
    </w:p>
    <w:p w14:paraId="4454603C" w14:textId="34B12B9B" w:rsidR="007C7656" w:rsidRPr="00874D26" w:rsidRDefault="007C7656" w:rsidP="00C50448">
      <w:pPr>
        <w:spacing w:before="120"/>
        <w:rPr>
          <w:rStyle w:val="hps"/>
        </w:rPr>
      </w:pPr>
      <w:r w:rsidRPr="00874D26">
        <w:t xml:space="preserve">Zmena klímy je významný faktor ovplyvňujúci politiky na globálnej (medzinárodnej) i európskej úrovni. Nepriaznivé dôsledky zmeny klímy sa na Slovensku očakávajú a v niektorých aspektoch sa prejavujú už v súčasnosti v rôznych oblastiach – v samotných klimatologických podmienkach (nárast teplôt, výskyt extrémnych zrážkových pomerov), v sociálnej oblasti (ohrozenie záplavami, riziko klimatickej migrácie) ale aj z pohľadu ekonomiky (zmeny podmienok pre pestovanie tradičných plodín, zvýšená spotreba energie na chladenie, nedostatok vody v ohrozených oblastiach). </w:t>
      </w:r>
    </w:p>
    <w:p w14:paraId="60107679" w14:textId="410DF940" w:rsidR="007C7656" w:rsidRPr="00874D26" w:rsidRDefault="00B4138F" w:rsidP="007C7656">
      <w:pPr>
        <w:spacing w:before="120"/>
      </w:pPr>
      <w:r w:rsidRPr="00874D26">
        <w:rPr>
          <w:rStyle w:val="hps"/>
        </w:rPr>
        <w:t>Dlhodobo udržateľný rozvoj Slovenska je podmienený e</w:t>
      </w:r>
      <w:r w:rsidRPr="00874D26">
        <w:rPr>
          <w:rFonts w:eastAsiaTheme="majorEastAsia"/>
        </w:rPr>
        <w:t xml:space="preserve">limináciou chudoby a sociálnou inklúziou, znížením sociálnych a ekonomických nerovností medzi </w:t>
      </w:r>
      <w:r w:rsidR="007B656D" w:rsidRPr="00874D26">
        <w:rPr>
          <w:rFonts w:eastAsiaTheme="majorEastAsia"/>
        </w:rPr>
        <w:t xml:space="preserve">regiónmi a </w:t>
      </w:r>
      <w:r w:rsidRPr="00874D26">
        <w:rPr>
          <w:rFonts w:eastAsiaTheme="majorEastAsia"/>
        </w:rPr>
        <w:t xml:space="preserve">jednotlivými skupinami obyvateľstva. </w:t>
      </w:r>
      <w:r w:rsidR="007B656D" w:rsidRPr="00874D26">
        <w:t>S</w:t>
      </w:r>
      <w:r w:rsidR="007C7656" w:rsidRPr="00874D26">
        <w:t>kupinami</w:t>
      </w:r>
      <w:r w:rsidR="00E25759" w:rsidRPr="00874D26">
        <w:t>,</w:t>
      </w:r>
      <w:r w:rsidR="007C7656" w:rsidRPr="00874D26">
        <w:t xml:space="preserve"> na ktoré je potrebné zamerať koordinovaný prístup</w:t>
      </w:r>
      <w:r w:rsidR="00E25759" w:rsidRPr="00874D26">
        <w:t>,</w:t>
      </w:r>
      <w:r w:rsidR="007C7656" w:rsidRPr="00874D26">
        <w:t xml:space="preserve"> sú ľudia žijúci v chudobe, alebo v sociálnom vylúčení. Ide najmä o dlhodobo nezamestnaných, ľudí žijúcich v periférnych oblastiach a ľudí zdravotne handicapovaných. Ich sociálna situácia môže limitovať prístup k základným zdrojom a službám. Vzrastajúcim problémom je energetická chudoba, kde sa cena energií stáva limitujúcim faktorom pre plnohodnotnú participáciu v spoločnosti.</w:t>
      </w:r>
    </w:p>
    <w:p w14:paraId="41A858E5" w14:textId="3675378F" w:rsidR="007B656D" w:rsidRPr="00874D26" w:rsidRDefault="00D42286" w:rsidP="008479DB">
      <w:pPr>
        <w:rPr>
          <w:rFonts w:eastAsiaTheme="majorEastAsia"/>
          <w:sz w:val="28"/>
          <w:szCs w:val="28"/>
        </w:rPr>
        <w:sectPr w:rsidR="007B656D" w:rsidRPr="00874D26" w:rsidSect="004542AD">
          <w:footerReference w:type="default" r:id="rId8"/>
          <w:pgSz w:w="11900" w:h="16840"/>
          <w:pgMar w:top="1440" w:right="1440" w:bottom="1440" w:left="1440" w:header="708" w:footer="708" w:gutter="0"/>
          <w:cols w:space="708"/>
          <w:docGrid w:linePitch="360"/>
        </w:sectPr>
      </w:pPr>
      <w:r w:rsidRPr="00D42286">
        <w:t>Špecifickou cieľovou skupinou, na ktorú je pri presadzovaní politík sociálneho začleňovania potrebné zamerať pozornosť, sú Rómovia. Zvlášť tí, ktorí žijú v separovaných a segregovaných osídleniach. Dôležité sú integrované prístupy, ktoré sa orientujú na komplexné zlepšenie životných podmienok, predovšetkým na vzdelanie, zamestnanosť, podporu, ochranu zdravia a dostupnú zdravotnú starostlivosť a bývanie.</w:t>
      </w:r>
    </w:p>
    <w:tbl>
      <w:tblPr>
        <w:tblStyle w:val="Mkatabulky"/>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671"/>
        <w:gridCol w:w="1687"/>
        <w:gridCol w:w="10958"/>
      </w:tblGrid>
      <w:tr w:rsidR="00B85B89" w:rsidRPr="002C25D6" w14:paraId="1287FE27" w14:textId="77777777" w:rsidTr="002C25D6">
        <w:tc>
          <w:tcPr>
            <w:tcW w:w="1677" w:type="dxa"/>
            <w:tcMar>
              <w:left w:w="28" w:type="dxa"/>
              <w:right w:w="28" w:type="dxa"/>
            </w:tcMar>
            <w:vAlign w:val="center"/>
          </w:tcPr>
          <w:p w14:paraId="71D2309D" w14:textId="77777777" w:rsidR="00B85B89" w:rsidRPr="002C25D6" w:rsidRDefault="00B85B89" w:rsidP="002C25D6">
            <w:pPr>
              <w:pStyle w:val="Tabuka"/>
              <w:contextualSpacing w:val="0"/>
              <w:jc w:val="center"/>
              <w:rPr>
                <w:rFonts w:ascii="Arial Hebrew" w:eastAsiaTheme="majorEastAsia" w:hAnsi="Arial Hebrew" w:cs="Arial Hebrew"/>
                <w:b/>
                <w:bCs/>
              </w:rPr>
            </w:pPr>
            <w:r w:rsidRPr="002C25D6">
              <w:rPr>
                <w:rFonts w:ascii="Calibri" w:eastAsia="Calibri" w:hAnsi="Calibri" w:cs="Calibri"/>
                <w:b/>
              </w:rPr>
              <w:lastRenderedPageBreak/>
              <w:t>Téma</w:t>
            </w:r>
          </w:p>
        </w:tc>
        <w:tc>
          <w:tcPr>
            <w:tcW w:w="1701" w:type="dxa"/>
            <w:tcMar>
              <w:left w:w="28" w:type="dxa"/>
              <w:right w:w="28" w:type="dxa"/>
            </w:tcMar>
            <w:vAlign w:val="center"/>
          </w:tcPr>
          <w:p w14:paraId="279FE1BC" w14:textId="77777777" w:rsidR="00B85B89" w:rsidRPr="002C25D6" w:rsidRDefault="00B85B89" w:rsidP="002C25D6">
            <w:pPr>
              <w:pStyle w:val="Tabuka"/>
              <w:contextualSpacing w:val="0"/>
              <w:jc w:val="center"/>
              <w:rPr>
                <w:rFonts w:ascii="Arial Hebrew" w:eastAsiaTheme="majorEastAsia" w:hAnsi="Arial Hebrew" w:cs="Arial Hebrew"/>
                <w:b/>
                <w:bCs/>
              </w:rPr>
            </w:pPr>
            <w:r w:rsidRPr="002C25D6">
              <w:rPr>
                <w:rFonts w:ascii="Calibri" w:eastAsia="Calibri" w:hAnsi="Calibri" w:cs="Calibri"/>
                <w:b/>
              </w:rPr>
              <w:t>SDGs</w:t>
            </w:r>
          </w:p>
        </w:tc>
        <w:tc>
          <w:tcPr>
            <w:tcW w:w="11081" w:type="dxa"/>
            <w:tcMar>
              <w:left w:w="28" w:type="dxa"/>
              <w:right w:w="28" w:type="dxa"/>
            </w:tcMar>
            <w:vAlign w:val="center"/>
          </w:tcPr>
          <w:p w14:paraId="3BA3B5F3" w14:textId="77777777" w:rsidR="00B85B89" w:rsidRPr="002C25D6" w:rsidRDefault="00B85B89" w:rsidP="002C25D6">
            <w:pPr>
              <w:pStyle w:val="Tabuka"/>
              <w:contextualSpacing w:val="0"/>
              <w:jc w:val="center"/>
              <w:rPr>
                <w:rFonts w:ascii="Arial Hebrew" w:eastAsiaTheme="majorEastAsia" w:hAnsi="Arial Hebrew" w:cs="Arial Hebrew"/>
                <w:b/>
                <w:bCs/>
              </w:rPr>
            </w:pPr>
            <w:r w:rsidRPr="002C25D6">
              <w:rPr>
                <w:rFonts w:ascii="Calibri" w:eastAsia="Calibri" w:hAnsi="Calibri" w:cs="Calibri"/>
                <w:b/>
              </w:rPr>
              <w:t>Hlavné</w:t>
            </w:r>
            <w:r w:rsidRPr="002C25D6">
              <w:rPr>
                <w:rFonts w:ascii="Arial Hebrew" w:eastAsiaTheme="majorEastAsia" w:hAnsi="Arial Hebrew" w:cs="Arial Hebrew" w:hint="cs"/>
                <w:b/>
              </w:rPr>
              <w:t xml:space="preserve"> </w:t>
            </w:r>
            <w:r w:rsidRPr="002C25D6">
              <w:rPr>
                <w:rFonts w:ascii="Calibri" w:eastAsia="Calibri" w:hAnsi="Calibri" w:cs="Calibri"/>
                <w:b/>
              </w:rPr>
              <w:t>výzvy</w:t>
            </w:r>
          </w:p>
        </w:tc>
      </w:tr>
      <w:tr w:rsidR="00B85B89" w:rsidRPr="002C25D6" w14:paraId="33835C43" w14:textId="77777777" w:rsidTr="002C25D6">
        <w:tc>
          <w:tcPr>
            <w:tcW w:w="1677" w:type="dxa"/>
            <w:tcMar>
              <w:left w:w="28" w:type="dxa"/>
              <w:right w:w="28" w:type="dxa"/>
            </w:tcMar>
            <w:vAlign w:val="center"/>
          </w:tcPr>
          <w:p w14:paraId="062DCD9A" w14:textId="77777777" w:rsidR="00B85B89" w:rsidRPr="002C25D6" w:rsidRDefault="00B85B89" w:rsidP="002C25D6">
            <w:pPr>
              <w:pStyle w:val="Tabuka"/>
              <w:contextualSpacing w:val="0"/>
              <w:rPr>
                <w:rFonts w:ascii="Arial Hebrew" w:eastAsiaTheme="majorEastAsia" w:hAnsi="Arial Hebrew" w:cs="Arial Hebrew"/>
                <w:b/>
                <w:bCs/>
              </w:rPr>
            </w:pPr>
            <w:r w:rsidRPr="002C25D6">
              <w:rPr>
                <w:rFonts w:ascii="Calibri" w:eastAsia="Calibri" w:hAnsi="Calibri" w:cs="Calibri"/>
                <w:b/>
              </w:rPr>
              <w:t>Udržateľný</w:t>
            </w:r>
            <w:r w:rsidRPr="002C25D6">
              <w:rPr>
                <w:rFonts w:ascii="Arial Hebrew" w:hAnsi="Arial Hebrew" w:cs="Arial Hebrew" w:hint="cs"/>
                <w:b/>
              </w:rPr>
              <w:t xml:space="preserve"> </w:t>
            </w:r>
            <w:r w:rsidRPr="002C25D6">
              <w:rPr>
                <w:rFonts w:ascii="Calibri" w:eastAsia="Calibri" w:hAnsi="Calibri" w:cs="Calibri"/>
                <w:b/>
              </w:rPr>
              <w:t>ekonomický</w:t>
            </w:r>
            <w:r w:rsidRPr="002C25D6">
              <w:rPr>
                <w:rFonts w:ascii="Arial Hebrew" w:hAnsi="Arial Hebrew" w:cs="Arial Hebrew" w:hint="cs"/>
                <w:b/>
              </w:rPr>
              <w:t xml:space="preserve"> </w:t>
            </w:r>
            <w:r w:rsidRPr="002C25D6">
              <w:rPr>
                <w:rFonts w:ascii="Calibri" w:eastAsia="Calibri" w:hAnsi="Calibri" w:cs="Calibri"/>
                <w:b/>
              </w:rPr>
              <w:t>rast</w:t>
            </w:r>
            <w:r w:rsidRPr="002C25D6">
              <w:rPr>
                <w:rFonts w:ascii="Arial Hebrew" w:hAnsi="Arial Hebrew" w:cs="Arial Hebrew" w:hint="cs"/>
                <w:b/>
              </w:rPr>
              <w:t xml:space="preserve"> </w:t>
            </w:r>
            <w:r w:rsidRPr="002C25D6">
              <w:rPr>
                <w:rFonts w:ascii="Calibri" w:eastAsia="Calibri" w:hAnsi="Calibri" w:cs="Calibri"/>
                <w:b/>
              </w:rPr>
              <w:t>pri</w:t>
            </w:r>
            <w:r w:rsidRPr="002C25D6">
              <w:rPr>
                <w:rFonts w:ascii="Arial Hebrew" w:hAnsi="Arial Hebrew" w:cs="Arial Hebrew" w:hint="cs"/>
                <w:b/>
              </w:rPr>
              <w:t xml:space="preserve"> </w:t>
            </w:r>
            <w:r w:rsidRPr="002C25D6">
              <w:rPr>
                <w:rFonts w:ascii="Calibri" w:eastAsia="Calibri" w:hAnsi="Calibri" w:cs="Calibri"/>
                <w:b/>
              </w:rPr>
              <w:t>starnúcej</w:t>
            </w:r>
            <w:r w:rsidRPr="002C25D6">
              <w:rPr>
                <w:rFonts w:ascii="Arial Hebrew" w:hAnsi="Arial Hebrew" w:cs="Arial Hebrew" w:hint="cs"/>
                <w:b/>
              </w:rPr>
              <w:t xml:space="preserve"> </w:t>
            </w:r>
            <w:r w:rsidRPr="002C25D6">
              <w:rPr>
                <w:rFonts w:ascii="Calibri" w:eastAsia="Calibri" w:hAnsi="Calibri" w:cs="Calibri"/>
                <w:b/>
              </w:rPr>
              <w:t>populácii</w:t>
            </w:r>
            <w:r w:rsidRPr="002C25D6">
              <w:rPr>
                <w:rFonts w:ascii="Arial Hebrew" w:hAnsi="Arial Hebrew" w:cs="Arial Hebrew" w:hint="cs"/>
                <w:b/>
              </w:rPr>
              <w:t xml:space="preserve"> </w:t>
            </w:r>
            <w:r w:rsidRPr="002C25D6">
              <w:rPr>
                <w:rFonts w:ascii="Calibri" w:eastAsia="Calibri" w:hAnsi="Calibri" w:cs="Calibri"/>
                <w:b/>
              </w:rPr>
              <w:t>a</w:t>
            </w:r>
            <w:r w:rsidRPr="002C25D6">
              <w:rPr>
                <w:rFonts w:ascii="Arial Hebrew" w:hAnsi="Arial Hebrew" w:cs="Arial Hebrew" w:hint="cs"/>
                <w:b/>
              </w:rPr>
              <w:t> </w:t>
            </w:r>
            <w:r w:rsidRPr="002C25D6">
              <w:rPr>
                <w:rFonts w:ascii="Calibri" w:eastAsia="Calibri" w:hAnsi="Calibri" w:cs="Calibri"/>
                <w:b/>
              </w:rPr>
              <w:t>v</w:t>
            </w:r>
            <w:r w:rsidRPr="002C25D6">
              <w:rPr>
                <w:rFonts w:ascii="Arial Hebrew" w:hAnsi="Arial Hebrew" w:cs="Arial Hebrew" w:hint="cs"/>
                <w:b/>
              </w:rPr>
              <w:t> </w:t>
            </w:r>
            <w:r w:rsidRPr="002C25D6">
              <w:rPr>
                <w:rFonts w:ascii="Calibri" w:eastAsia="Calibri" w:hAnsi="Calibri" w:cs="Calibri"/>
                <w:b/>
              </w:rPr>
              <w:t>meniacom</w:t>
            </w:r>
            <w:r w:rsidRPr="002C25D6">
              <w:rPr>
                <w:rFonts w:ascii="Arial Hebrew" w:hAnsi="Arial Hebrew" w:cs="Arial Hebrew" w:hint="cs"/>
                <w:b/>
              </w:rPr>
              <w:t xml:space="preserve"> </w:t>
            </w:r>
            <w:r w:rsidRPr="002C25D6">
              <w:rPr>
                <w:rFonts w:ascii="Calibri" w:eastAsia="Calibri" w:hAnsi="Calibri" w:cs="Calibri"/>
                <w:b/>
              </w:rPr>
              <w:t>sa</w:t>
            </w:r>
            <w:r w:rsidRPr="002C25D6">
              <w:rPr>
                <w:rFonts w:ascii="Arial Hebrew" w:hAnsi="Arial Hebrew" w:cs="Arial Hebrew" w:hint="cs"/>
                <w:b/>
              </w:rPr>
              <w:t xml:space="preserve"> </w:t>
            </w:r>
            <w:r w:rsidRPr="002C25D6">
              <w:rPr>
                <w:rFonts w:ascii="Calibri" w:eastAsia="Calibri" w:hAnsi="Calibri" w:cs="Calibri"/>
                <w:b/>
              </w:rPr>
              <w:t>globálnom</w:t>
            </w:r>
            <w:r w:rsidRPr="002C25D6">
              <w:rPr>
                <w:rFonts w:ascii="Arial Hebrew" w:hAnsi="Arial Hebrew" w:cs="Arial Hebrew" w:hint="cs"/>
                <w:b/>
              </w:rPr>
              <w:t xml:space="preserve"> </w:t>
            </w:r>
            <w:r w:rsidRPr="002C25D6">
              <w:rPr>
                <w:rFonts w:ascii="Calibri" w:eastAsia="Calibri" w:hAnsi="Calibri" w:cs="Calibri"/>
                <w:b/>
              </w:rPr>
              <w:t>prostredí</w:t>
            </w:r>
          </w:p>
        </w:tc>
        <w:tc>
          <w:tcPr>
            <w:tcW w:w="1701" w:type="dxa"/>
            <w:tcMar>
              <w:left w:w="28" w:type="dxa"/>
              <w:right w:w="28" w:type="dxa"/>
            </w:tcMar>
            <w:vAlign w:val="center"/>
          </w:tcPr>
          <w:p w14:paraId="26353F99" w14:textId="77777777" w:rsidR="00B85B89" w:rsidRPr="002C25D6" w:rsidRDefault="00B85B89" w:rsidP="002C25D6">
            <w:pPr>
              <w:pStyle w:val="Tabuka"/>
              <w:contextualSpacing w:val="0"/>
              <w:jc w:val="center"/>
              <w:rPr>
                <w:rFonts w:ascii="Arial Hebrew" w:hAnsi="Arial Hebrew" w:cs="Arial Hebrew"/>
                <w:noProof/>
                <w:lang w:val="en-GB"/>
              </w:rPr>
            </w:pPr>
            <w:r w:rsidRPr="002C25D6">
              <w:rPr>
                <w:rFonts w:ascii="Arial Hebrew" w:hAnsi="Arial Hebrew" w:cs="Arial Hebrew" w:hint="cs"/>
                <w:noProof/>
                <w:lang w:val="cs-CZ" w:eastAsia="cs-CZ"/>
              </w:rPr>
              <w:drawing>
                <wp:inline distT="0" distB="0" distL="0" distR="0" wp14:anchorId="769F8D44" wp14:editId="61FB64F5">
                  <wp:extent cx="360000" cy="360000"/>
                  <wp:effectExtent l="0" t="0" r="2540" b="2540"/>
                  <wp:docPr id="31" name="Obrázok 5" descr="C:\Users\Vlado\Documents\SDG 8 dôstojná práca a ekonomický 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o\Documents\SDG 8 dôstojná práca a ekonomický ra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2C25D6">
              <w:rPr>
                <w:rFonts w:ascii="Arial Hebrew" w:hAnsi="Arial Hebrew" w:cs="Arial Hebrew" w:hint="cs"/>
                <w:noProof/>
              </w:rPr>
              <w:t xml:space="preserve"> </w:t>
            </w:r>
            <w:r w:rsidRPr="002C25D6">
              <w:rPr>
                <w:rFonts w:ascii="Arial Hebrew" w:hAnsi="Arial Hebrew" w:cs="Arial Hebrew" w:hint="cs"/>
                <w:noProof/>
                <w:lang w:val="cs-CZ" w:eastAsia="cs-CZ"/>
              </w:rPr>
              <w:drawing>
                <wp:inline distT="0" distB="0" distL="0" distR="0" wp14:anchorId="045D0391" wp14:editId="7F5E8F1D">
                  <wp:extent cx="360000" cy="363600"/>
                  <wp:effectExtent l="0" t="0" r="2540" b="0"/>
                  <wp:docPr id="32" name="Obrázok 4" descr="C:\Users\Vlado\Documents\SDG 9 priemysel a inovác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o\Documents\SDG 9 priemysel a inováci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0000" cy="363600"/>
                          </a:xfrm>
                          <a:prstGeom prst="rect">
                            <a:avLst/>
                          </a:prstGeom>
                          <a:noFill/>
                          <a:ln>
                            <a:noFill/>
                          </a:ln>
                        </pic:spPr>
                      </pic:pic>
                    </a:graphicData>
                  </a:graphic>
                </wp:inline>
              </w:drawing>
            </w:r>
          </w:p>
          <w:p w14:paraId="63D5A254" w14:textId="77777777" w:rsidR="00B85B89" w:rsidRPr="002C25D6" w:rsidRDefault="00B85B89" w:rsidP="002C25D6">
            <w:pPr>
              <w:pStyle w:val="Tabuka"/>
              <w:contextualSpacing w:val="0"/>
              <w:jc w:val="center"/>
              <w:rPr>
                <w:rFonts w:ascii="Arial Hebrew" w:hAnsi="Arial Hebrew" w:cs="Arial Hebrew"/>
              </w:rPr>
            </w:pPr>
            <w:r w:rsidRPr="002C25D6">
              <w:rPr>
                <w:rFonts w:ascii="Arial Hebrew" w:hAnsi="Arial Hebrew" w:cs="Arial Hebrew" w:hint="cs"/>
                <w:noProof/>
                <w:lang w:val="cs-CZ" w:eastAsia="cs-CZ"/>
              </w:rPr>
              <w:drawing>
                <wp:inline distT="0" distB="0" distL="0" distR="0" wp14:anchorId="69A549A3" wp14:editId="0506E708">
                  <wp:extent cx="360000" cy="360000"/>
                  <wp:effectExtent l="0" t="0" r="2540" b="2540"/>
                  <wp:docPr id="33" name="Obrázok 7" descr="C:\Users\Vlado\Documents\SDG 10 zníženie nerovnost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o\Documents\SDG 10 zníženie nerovností.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2C25D6">
              <w:rPr>
                <w:rFonts w:ascii="Arial Hebrew" w:hAnsi="Arial Hebrew" w:cs="Arial Hebrew" w:hint="cs"/>
                <w:noProof/>
              </w:rPr>
              <w:t xml:space="preserve"> </w:t>
            </w:r>
            <w:r w:rsidRPr="002C25D6">
              <w:rPr>
                <w:rFonts w:ascii="Arial Hebrew" w:hAnsi="Arial Hebrew" w:cs="Arial Hebrew" w:hint="cs"/>
                <w:noProof/>
                <w:lang w:val="cs-CZ" w:eastAsia="cs-CZ"/>
              </w:rPr>
              <w:drawing>
                <wp:inline distT="0" distB="0" distL="0" distR="0" wp14:anchorId="74D9D833" wp14:editId="64480281">
                  <wp:extent cx="360000" cy="360000"/>
                  <wp:effectExtent l="0" t="0" r="254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000" cy="360000"/>
                          </a:xfrm>
                          <a:prstGeom prst="rect">
                            <a:avLst/>
                          </a:prstGeom>
                        </pic:spPr>
                      </pic:pic>
                    </a:graphicData>
                  </a:graphic>
                </wp:inline>
              </w:drawing>
            </w:r>
          </w:p>
        </w:tc>
        <w:tc>
          <w:tcPr>
            <w:tcW w:w="11081" w:type="dxa"/>
            <w:tcMar>
              <w:left w:w="28" w:type="dxa"/>
              <w:right w:w="28" w:type="dxa"/>
            </w:tcMar>
            <w:vAlign w:val="center"/>
          </w:tcPr>
          <w:p w14:paraId="15C150E0" w14:textId="225A99D0" w:rsidR="00B85B89" w:rsidRPr="002C25D6" w:rsidRDefault="00B85B89" w:rsidP="002C25D6">
            <w:pPr>
              <w:pStyle w:val="Tabuka"/>
              <w:numPr>
                <w:ilvl w:val="0"/>
                <w:numId w:val="29"/>
              </w:numPr>
              <w:contextualSpacing w:val="0"/>
              <w:rPr>
                <w:rFonts w:ascii="Arial Hebrew" w:hAnsi="Arial Hebrew" w:cs="Arial Hebrew"/>
              </w:rPr>
            </w:pPr>
            <w:r w:rsidRPr="002C25D6">
              <w:rPr>
                <w:rFonts w:ascii="Calibri" w:eastAsia="Calibri" w:hAnsi="Calibri" w:cs="Calibri"/>
              </w:rPr>
              <w:t>Udržanie</w:t>
            </w:r>
            <w:r w:rsidRPr="002C25D6">
              <w:rPr>
                <w:rFonts w:ascii="Arial Hebrew" w:hAnsi="Arial Hebrew" w:cs="Arial Hebrew" w:hint="cs"/>
              </w:rPr>
              <w:t xml:space="preserve"> </w:t>
            </w:r>
            <w:r w:rsidRPr="002C25D6">
              <w:rPr>
                <w:rFonts w:ascii="Calibri" w:eastAsia="Calibri" w:hAnsi="Calibri" w:cs="Calibri"/>
              </w:rPr>
              <w:t>konvergenčného</w:t>
            </w:r>
            <w:r w:rsidRPr="002C25D6">
              <w:rPr>
                <w:rFonts w:ascii="Arial Hebrew" w:hAnsi="Arial Hebrew" w:cs="Arial Hebrew" w:hint="cs"/>
              </w:rPr>
              <w:t xml:space="preserve"> </w:t>
            </w:r>
            <w:r w:rsidRPr="002C25D6">
              <w:rPr>
                <w:rFonts w:ascii="Calibri" w:eastAsia="Calibri" w:hAnsi="Calibri" w:cs="Calibri"/>
              </w:rPr>
              <w:t>procesu</w:t>
            </w:r>
            <w:r w:rsidRPr="002C25D6">
              <w:rPr>
                <w:rFonts w:ascii="Arial Hebrew" w:hAnsi="Arial Hebrew" w:cs="Arial Hebrew" w:hint="cs"/>
              </w:rPr>
              <w:t xml:space="preserve"> </w:t>
            </w:r>
            <w:r w:rsidRPr="002C25D6">
              <w:rPr>
                <w:rFonts w:ascii="Calibri" w:eastAsia="Calibri" w:hAnsi="Calibri" w:cs="Calibri"/>
              </w:rPr>
              <w:t>s</w:t>
            </w:r>
            <w:r w:rsidRPr="002C25D6">
              <w:rPr>
                <w:rFonts w:ascii="Arial Hebrew" w:hAnsi="Arial Hebrew" w:cs="Arial Hebrew" w:hint="cs"/>
              </w:rPr>
              <w:t> </w:t>
            </w:r>
            <w:r w:rsidRPr="002C25D6">
              <w:rPr>
                <w:rFonts w:ascii="Calibri" w:eastAsia="Calibri" w:hAnsi="Calibri" w:cs="Calibri"/>
              </w:rPr>
              <w:t>jadrom</w:t>
            </w:r>
            <w:r w:rsidRPr="002C25D6">
              <w:rPr>
                <w:rFonts w:ascii="Arial Hebrew" w:hAnsi="Arial Hebrew" w:cs="Arial Hebrew" w:hint="cs"/>
              </w:rPr>
              <w:t xml:space="preserve"> </w:t>
            </w:r>
            <w:r w:rsidRPr="002C25D6">
              <w:rPr>
                <w:rFonts w:ascii="Calibri" w:eastAsia="Calibri" w:hAnsi="Calibri" w:cs="Calibri"/>
              </w:rPr>
              <w:t>EÚ</w:t>
            </w:r>
            <w:r w:rsidR="006E2E8C">
              <w:rPr>
                <w:rFonts w:ascii="Calibri" w:eastAsia="Calibri" w:hAnsi="Calibri" w:cs="Calibri"/>
              </w:rPr>
              <w:t>.</w:t>
            </w:r>
          </w:p>
          <w:p w14:paraId="34486B7B" w14:textId="77777777" w:rsidR="00B85B89" w:rsidRPr="002C25D6" w:rsidRDefault="00B85B89" w:rsidP="002C25D6">
            <w:pPr>
              <w:pStyle w:val="Tabuka"/>
              <w:numPr>
                <w:ilvl w:val="0"/>
                <w:numId w:val="29"/>
              </w:numPr>
              <w:contextualSpacing w:val="0"/>
              <w:rPr>
                <w:rFonts w:ascii="Arial Hebrew" w:hAnsi="Arial Hebrew" w:cs="Arial Hebrew"/>
              </w:rPr>
            </w:pPr>
            <w:r w:rsidRPr="002C25D6">
              <w:rPr>
                <w:rFonts w:ascii="Calibri" w:eastAsia="Calibri" w:hAnsi="Calibri" w:cs="Calibri"/>
              </w:rPr>
              <w:t>Prechod</w:t>
            </w:r>
            <w:r w:rsidRPr="002C25D6">
              <w:rPr>
                <w:rFonts w:ascii="Arial Hebrew" w:hAnsi="Arial Hebrew" w:cs="Arial Hebrew" w:hint="cs"/>
              </w:rPr>
              <w:t xml:space="preserve"> </w:t>
            </w:r>
            <w:r w:rsidRPr="002C25D6">
              <w:rPr>
                <w:rFonts w:ascii="Calibri" w:eastAsia="Calibri" w:hAnsi="Calibri" w:cs="Calibri"/>
              </w:rPr>
              <w:t>na</w:t>
            </w:r>
            <w:r w:rsidRPr="002C25D6">
              <w:rPr>
                <w:rFonts w:ascii="Arial Hebrew" w:hAnsi="Arial Hebrew" w:cs="Arial Hebrew" w:hint="cs"/>
              </w:rPr>
              <w:t xml:space="preserve"> </w:t>
            </w:r>
            <w:r w:rsidRPr="002C25D6">
              <w:rPr>
                <w:rFonts w:ascii="Calibri" w:eastAsia="Calibri" w:hAnsi="Calibri" w:cs="Calibri"/>
              </w:rPr>
              <w:t>intenzívne</w:t>
            </w:r>
            <w:r w:rsidRPr="002C25D6">
              <w:rPr>
                <w:rFonts w:ascii="Arial Hebrew" w:hAnsi="Arial Hebrew" w:cs="Arial Hebrew" w:hint="cs"/>
              </w:rPr>
              <w:t xml:space="preserve"> </w:t>
            </w:r>
            <w:r w:rsidRPr="002C25D6">
              <w:rPr>
                <w:rFonts w:ascii="Calibri" w:eastAsia="Calibri" w:hAnsi="Calibri" w:cs="Calibri"/>
              </w:rPr>
              <w:t>zdroje</w:t>
            </w:r>
            <w:r w:rsidRPr="002C25D6">
              <w:rPr>
                <w:rFonts w:ascii="Arial Hebrew" w:hAnsi="Arial Hebrew" w:cs="Arial Hebrew" w:hint="cs"/>
              </w:rPr>
              <w:t xml:space="preserve"> </w:t>
            </w:r>
            <w:r w:rsidRPr="002C25D6">
              <w:rPr>
                <w:rFonts w:ascii="Calibri" w:eastAsia="Calibri" w:hAnsi="Calibri" w:cs="Calibri"/>
              </w:rPr>
              <w:t>ekonomického</w:t>
            </w:r>
            <w:r w:rsidRPr="002C25D6">
              <w:rPr>
                <w:rFonts w:ascii="Arial Hebrew" w:hAnsi="Arial Hebrew" w:cs="Arial Hebrew" w:hint="cs"/>
              </w:rPr>
              <w:t xml:space="preserve"> </w:t>
            </w:r>
            <w:r w:rsidRPr="002C25D6">
              <w:rPr>
                <w:rFonts w:ascii="Calibri" w:eastAsia="Calibri" w:hAnsi="Calibri" w:cs="Calibri"/>
              </w:rPr>
              <w:t>rastu</w:t>
            </w:r>
            <w:r w:rsidRPr="002C25D6">
              <w:rPr>
                <w:rFonts w:ascii="Arial Hebrew" w:hAnsi="Arial Hebrew" w:cs="Arial Hebrew" w:hint="cs"/>
              </w:rPr>
              <w:t xml:space="preserve"> (</w:t>
            </w:r>
            <w:r w:rsidRPr="002C25D6">
              <w:rPr>
                <w:rFonts w:ascii="Calibri" w:eastAsia="Calibri" w:hAnsi="Calibri" w:cs="Calibri"/>
              </w:rPr>
              <w:t>technologické</w:t>
            </w:r>
            <w:r w:rsidRPr="002C25D6">
              <w:rPr>
                <w:rFonts w:ascii="Arial Hebrew" w:hAnsi="Arial Hebrew" w:cs="Arial Hebrew" w:hint="cs"/>
              </w:rPr>
              <w:t xml:space="preserve"> </w:t>
            </w:r>
            <w:r w:rsidRPr="002C25D6">
              <w:rPr>
                <w:rFonts w:ascii="Calibri" w:eastAsia="Calibri" w:hAnsi="Calibri" w:cs="Calibri"/>
              </w:rPr>
              <w:t>a</w:t>
            </w:r>
            <w:r w:rsidRPr="002C25D6">
              <w:rPr>
                <w:rFonts w:ascii="Arial Hebrew" w:hAnsi="Arial Hebrew" w:cs="Arial Hebrew" w:hint="cs"/>
              </w:rPr>
              <w:t> </w:t>
            </w:r>
            <w:r w:rsidRPr="002C25D6">
              <w:rPr>
                <w:rFonts w:ascii="Calibri" w:eastAsia="Calibri" w:hAnsi="Calibri" w:cs="Calibri"/>
              </w:rPr>
              <w:t>organizačné</w:t>
            </w:r>
            <w:r w:rsidRPr="002C25D6">
              <w:rPr>
                <w:rFonts w:ascii="Arial Hebrew" w:hAnsi="Arial Hebrew" w:cs="Arial Hebrew" w:hint="cs"/>
              </w:rPr>
              <w:t xml:space="preserve"> </w:t>
            </w:r>
            <w:r w:rsidRPr="002C25D6">
              <w:rPr>
                <w:rFonts w:ascii="Calibri" w:eastAsia="Calibri" w:hAnsi="Calibri" w:cs="Calibri"/>
              </w:rPr>
              <w:t>inovácie</w:t>
            </w:r>
            <w:r w:rsidRPr="002C25D6">
              <w:rPr>
                <w:rFonts w:ascii="Arial Hebrew" w:hAnsi="Arial Hebrew" w:cs="Arial Hebrew" w:hint="cs"/>
              </w:rPr>
              <w:t>).</w:t>
            </w:r>
          </w:p>
          <w:p w14:paraId="595019CF" w14:textId="08CB91F0" w:rsidR="00B85B89" w:rsidRPr="002C25D6" w:rsidRDefault="00B85B89" w:rsidP="002C25D6">
            <w:pPr>
              <w:pStyle w:val="Tabuka"/>
              <w:numPr>
                <w:ilvl w:val="0"/>
                <w:numId w:val="29"/>
              </w:numPr>
              <w:contextualSpacing w:val="0"/>
              <w:rPr>
                <w:rFonts w:ascii="Arial Hebrew" w:hAnsi="Arial Hebrew" w:cs="Arial Hebrew"/>
              </w:rPr>
            </w:pPr>
            <w:r w:rsidRPr="002C25D6">
              <w:rPr>
                <w:rFonts w:ascii="Calibri" w:eastAsia="Calibri" w:hAnsi="Calibri" w:cs="Calibri"/>
              </w:rPr>
              <w:t>Reštrukturalizácia</w:t>
            </w:r>
            <w:r w:rsidRPr="002C25D6">
              <w:rPr>
                <w:rFonts w:ascii="Arial Hebrew" w:hAnsi="Arial Hebrew" w:cs="Arial Hebrew" w:hint="cs"/>
              </w:rPr>
              <w:t xml:space="preserve"> </w:t>
            </w:r>
            <w:r w:rsidRPr="002C25D6">
              <w:rPr>
                <w:rFonts w:ascii="Calibri" w:eastAsia="Calibri" w:hAnsi="Calibri" w:cs="Calibri"/>
              </w:rPr>
              <w:t>odvetví</w:t>
            </w:r>
            <w:r w:rsidRPr="002C25D6">
              <w:rPr>
                <w:rFonts w:ascii="Arial Hebrew" w:hAnsi="Arial Hebrew" w:cs="Arial Hebrew" w:hint="cs"/>
              </w:rPr>
              <w:t xml:space="preserve"> </w:t>
            </w:r>
            <w:r w:rsidRPr="002C25D6">
              <w:rPr>
                <w:rFonts w:ascii="Calibri" w:eastAsia="Calibri" w:hAnsi="Calibri" w:cs="Calibri"/>
              </w:rPr>
              <w:t>smerom</w:t>
            </w:r>
            <w:r w:rsidRPr="002C25D6">
              <w:rPr>
                <w:rFonts w:ascii="Arial Hebrew" w:hAnsi="Arial Hebrew" w:cs="Arial Hebrew" w:hint="cs"/>
              </w:rPr>
              <w:t xml:space="preserve"> </w:t>
            </w:r>
            <w:r w:rsidRPr="002C25D6">
              <w:rPr>
                <w:rFonts w:ascii="Calibri" w:eastAsia="Calibri" w:hAnsi="Calibri" w:cs="Calibri"/>
              </w:rPr>
              <w:t>k</w:t>
            </w:r>
            <w:r w:rsidRPr="002C25D6">
              <w:rPr>
                <w:rFonts w:ascii="Arial Hebrew" w:hAnsi="Arial Hebrew" w:cs="Arial Hebrew" w:hint="cs"/>
              </w:rPr>
              <w:t> </w:t>
            </w:r>
            <w:r w:rsidRPr="002C25D6">
              <w:rPr>
                <w:rFonts w:ascii="Calibri" w:eastAsia="Calibri" w:hAnsi="Calibri" w:cs="Calibri"/>
              </w:rPr>
              <w:t>vyššej</w:t>
            </w:r>
            <w:r w:rsidRPr="002C25D6">
              <w:rPr>
                <w:rFonts w:ascii="Arial Hebrew" w:hAnsi="Arial Hebrew" w:cs="Arial Hebrew" w:hint="cs"/>
              </w:rPr>
              <w:t xml:space="preserve"> </w:t>
            </w:r>
            <w:r w:rsidRPr="002C25D6">
              <w:rPr>
                <w:rFonts w:ascii="Calibri" w:eastAsia="Calibri" w:hAnsi="Calibri" w:cs="Calibri"/>
              </w:rPr>
              <w:t>pridanej</w:t>
            </w:r>
            <w:r w:rsidRPr="002C25D6">
              <w:rPr>
                <w:rFonts w:ascii="Arial Hebrew" w:hAnsi="Arial Hebrew" w:cs="Arial Hebrew" w:hint="cs"/>
              </w:rPr>
              <w:t xml:space="preserve"> </w:t>
            </w:r>
            <w:r w:rsidRPr="002C25D6">
              <w:rPr>
                <w:rFonts w:ascii="Calibri" w:eastAsia="Calibri" w:hAnsi="Calibri" w:cs="Calibri"/>
              </w:rPr>
              <w:t>hodnote</w:t>
            </w:r>
            <w:r w:rsidR="006E2E8C">
              <w:rPr>
                <w:rFonts w:ascii="Calibri" w:eastAsia="Calibri" w:hAnsi="Calibri" w:cs="Calibri"/>
              </w:rPr>
              <w:t>.</w:t>
            </w:r>
          </w:p>
          <w:p w14:paraId="70FB0904" w14:textId="04AA61B5" w:rsidR="00B85B89" w:rsidRPr="002C25D6" w:rsidRDefault="00B85B89" w:rsidP="002C25D6">
            <w:pPr>
              <w:pStyle w:val="Tabuka"/>
              <w:numPr>
                <w:ilvl w:val="0"/>
                <w:numId w:val="29"/>
              </w:numPr>
              <w:contextualSpacing w:val="0"/>
              <w:rPr>
                <w:rFonts w:ascii="Arial Hebrew" w:hAnsi="Arial Hebrew" w:cs="Arial Hebrew"/>
              </w:rPr>
            </w:pPr>
            <w:r w:rsidRPr="002C25D6">
              <w:rPr>
                <w:rFonts w:ascii="Calibri" w:eastAsia="Calibri" w:hAnsi="Calibri" w:cs="Calibri"/>
              </w:rPr>
              <w:t>Zabezpečenie</w:t>
            </w:r>
            <w:r w:rsidRPr="002C25D6">
              <w:rPr>
                <w:rFonts w:ascii="Arial Hebrew" w:hAnsi="Arial Hebrew" w:cs="Arial Hebrew" w:hint="cs"/>
              </w:rPr>
              <w:t xml:space="preserve"> </w:t>
            </w:r>
            <w:r w:rsidRPr="002C25D6">
              <w:rPr>
                <w:rFonts w:ascii="Calibri" w:eastAsia="Calibri" w:hAnsi="Calibri" w:cs="Calibri"/>
              </w:rPr>
              <w:t>fiškálnej</w:t>
            </w:r>
            <w:r w:rsidRPr="002C25D6">
              <w:rPr>
                <w:rFonts w:ascii="Arial Hebrew" w:hAnsi="Arial Hebrew" w:cs="Arial Hebrew" w:hint="cs"/>
              </w:rPr>
              <w:t xml:space="preserve"> </w:t>
            </w:r>
            <w:r w:rsidRPr="002C25D6">
              <w:rPr>
                <w:rFonts w:ascii="Calibri" w:eastAsia="Calibri" w:hAnsi="Calibri" w:cs="Calibri"/>
              </w:rPr>
              <w:t>udržateľnosti</w:t>
            </w:r>
            <w:r w:rsidRPr="002C25D6">
              <w:rPr>
                <w:rFonts w:ascii="Arial Hebrew" w:hAnsi="Arial Hebrew" w:cs="Arial Hebrew" w:hint="cs"/>
              </w:rPr>
              <w:t xml:space="preserve">. </w:t>
            </w:r>
            <w:r w:rsidRPr="002C25D6">
              <w:rPr>
                <w:rFonts w:ascii="Calibri" w:eastAsia="Calibri" w:hAnsi="Calibri" w:cs="Calibri"/>
              </w:rPr>
              <w:t>Generovanie</w:t>
            </w:r>
            <w:r w:rsidRPr="002C25D6">
              <w:rPr>
                <w:rFonts w:ascii="Arial Hebrew" w:hAnsi="Arial Hebrew" w:cs="Arial Hebrew" w:hint="cs"/>
              </w:rPr>
              <w:t xml:space="preserve"> </w:t>
            </w:r>
            <w:r w:rsidRPr="002C25D6">
              <w:rPr>
                <w:rFonts w:ascii="Calibri" w:eastAsia="Calibri" w:hAnsi="Calibri" w:cs="Calibri"/>
              </w:rPr>
              <w:t>verejných</w:t>
            </w:r>
            <w:r w:rsidRPr="002C25D6">
              <w:rPr>
                <w:rFonts w:ascii="Arial Hebrew" w:hAnsi="Arial Hebrew" w:cs="Arial Hebrew" w:hint="cs"/>
              </w:rPr>
              <w:t xml:space="preserve"> </w:t>
            </w:r>
            <w:r w:rsidRPr="002C25D6">
              <w:rPr>
                <w:rFonts w:ascii="Calibri" w:eastAsia="Calibri" w:hAnsi="Calibri" w:cs="Calibri"/>
              </w:rPr>
              <w:t>príjmov</w:t>
            </w:r>
            <w:r w:rsidRPr="002C25D6">
              <w:rPr>
                <w:rFonts w:ascii="Arial Hebrew" w:hAnsi="Arial Hebrew" w:cs="Arial Hebrew" w:hint="cs"/>
              </w:rPr>
              <w:t xml:space="preserve"> </w:t>
            </w:r>
            <w:r w:rsidRPr="002C25D6">
              <w:rPr>
                <w:rFonts w:ascii="Calibri" w:eastAsia="Calibri" w:hAnsi="Calibri" w:cs="Calibri"/>
              </w:rPr>
              <w:t>na</w:t>
            </w:r>
            <w:r w:rsidRPr="002C25D6">
              <w:rPr>
                <w:rFonts w:ascii="Arial Hebrew" w:hAnsi="Arial Hebrew" w:cs="Arial Hebrew" w:hint="cs"/>
              </w:rPr>
              <w:t xml:space="preserve"> </w:t>
            </w:r>
            <w:r w:rsidRPr="002C25D6">
              <w:rPr>
                <w:rFonts w:ascii="Calibri" w:eastAsia="Calibri" w:hAnsi="Calibri" w:cs="Calibri"/>
              </w:rPr>
              <w:t>udržanie</w:t>
            </w:r>
            <w:r w:rsidRPr="002C25D6">
              <w:rPr>
                <w:rFonts w:ascii="Arial Hebrew" w:hAnsi="Arial Hebrew" w:cs="Arial Hebrew" w:hint="cs"/>
              </w:rPr>
              <w:t xml:space="preserve"> </w:t>
            </w:r>
            <w:r w:rsidRPr="002C25D6">
              <w:rPr>
                <w:rFonts w:ascii="Calibri" w:eastAsia="Calibri" w:hAnsi="Calibri" w:cs="Calibri"/>
              </w:rPr>
              <w:t>sociálnych</w:t>
            </w:r>
            <w:r w:rsidRPr="002C25D6">
              <w:rPr>
                <w:rFonts w:ascii="Arial Hebrew" w:hAnsi="Arial Hebrew" w:cs="Arial Hebrew" w:hint="cs"/>
              </w:rPr>
              <w:t xml:space="preserve"> </w:t>
            </w:r>
            <w:r w:rsidRPr="002C25D6">
              <w:rPr>
                <w:rFonts w:ascii="Calibri" w:eastAsia="Calibri" w:hAnsi="Calibri" w:cs="Calibri"/>
              </w:rPr>
              <w:t>služieb</w:t>
            </w:r>
            <w:r w:rsidRPr="002C25D6">
              <w:rPr>
                <w:rFonts w:ascii="Arial Hebrew" w:hAnsi="Arial Hebrew" w:cs="Arial Hebrew" w:hint="cs"/>
              </w:rPr>
              <w:t xml:space="preserve"> </w:t>
            </w:r>
            <w:r w:rsidRPr="002C25D6">
              <w:rPr>
                <w:rFonts w:ascii="Calibri" w:eastAsia="Calibri" w:hAnsi="Calibri" w:cs="Calibri"/>
              </w:rPr>
              <w:t>štátu</w:t>
            </w:r>
            <w:r w:rsidRPr="002C25D6">
              <w:rPr>
                <w:rFonts w:ascii="Arial Hebrew" w:hAnsi="Arial Hebrew" w:cs="Arial Hebrew" w:hint="cs"/>
              </w:rPr>
              <w:t xml:space="preserve"> </w:t>
            </w:r>
            <w:r w:rsidRPr="002C25D6">
              <w:rPr>
                <w:rFonts w:ascii="Calibri" w:eastAsia="Calibri" w:hAnsi="Calibri" w:cs="Calibri"/>
              </w:rPr>
              <w:t>pri</w:t>
            </w:r>
            <w:r w:rsidRPr="002C25D6">
              <w:rPr>
                <w:rFonts w:ascii="Arial Hebrew" w:hAnsi="Arial Hebrew" w:cs="Arial Hebrew" w:hint="cs"/>
              </w:rPr>
              <w:t xml:space="preserve"> </w:t>
            </w:r>
            <w:r w:rsidRPr="002C25D6">
              <w:rPr>
                <w:rFonts w:ascii="Calibri" w:eastAsia="Calibri" w:hAnsi="Calibri" w:cs="Calibri"/>
              </w:rPr>
              <w:t>starnutí</w:t>
            </w:r>
            <w:r w:rsidRPr="002C25D6">
              <w:rPr>
                <w:rFonts w:ascii="Arial Hebrew" w:hAnsi="Arial Hebrew" w:cs="Arial Hebrew" w:hint="cs"/>
              </w:rPr>
              <w:t xml:space="preserve"> </w:t>
            </w:r>
            <w:r w:rsidRPr="002C25D6">
              <w:rPr>
                <w:rFonts w:ascii="Calibri" w:eastAsia="Calibri" w:hAnsi="Calibri" w:cs="Calibri"/>
              </w:rPr>
              <w:t>populácie</w:t>
            </w:r>
            <w:r w:rsidR="006E2E8C">
              <w:rPr>
                <w:rFonts w:ascii="Calibri" w:eastAsia="Calibri" w:hAnsi="Calibri" w:cs="Calibri"/>
              </w:rPr>
              <w:t>.</w:t>
            </w:r>
          </w:p>
          <w:p w14:paraId="6995D117" w14:textId="18506F75" w:rsidR="00B85B89" w:rsidRPr="002C25D6" w:rsidRDefault="00B85B89" w:rsidP="002C25D6">
            <w:pPr>
              <w:pStyle w:val="Tabuka"/>
              <w:numPr>
                <w:ilvl w:val="0"/>
                <w:numId w:val="29"/>
              </w:numPr>
              <w:contextualSpacing w:val="0"/>
              <w:rPr>
                <w:rFonts w:ascii="Arial Hebrew" w:hAnsi="Arial Hebrew" w:cs="Arial Hebrew"/>
              </w:rPr>
            </w:pPr>
            <w:r w:rsidRPr="002C25D6">
              <w:rPr>
                <w:rFonts w:ascii="Calibri" w:eastAsia="Calibri" w:hAnsi="Calibri" w:cs="Calibri"/>
                <w:bCs/>
                <w:lang w:eastAsia="en-GB"/>
              </w:rPr>
              <w:t>Smerovanie</w:t>
            </w:r>
            <w:r w:rsidRPr="002C25D6">
              <w:rPr>
                <w:rFonts w:ascii="Arial Hebrew" w:hAnsi="Arial Hebrew" w:cs="Arial Hebrew" w:hint="cs"/>
                <w:bCs/>
                <w:lang w:eastAsia="en-GB"/>
              </w:rPr>
              <w:t xml:space="preserve"> </w:t>
            </w:r>
            <w:r w:rsidRPr="002C25D6">
              <w:rPr>
                <w:rFonts w:ascii="Calibri" w:eastAsia="Calibri" w:hAnsi="Calibri" w:cs="Calibri"/>
                <w:bCs/>
                <w:lang w:eastAsia="en-GB"/>
              </w:rPr>
              <w:t>k</w:t>
            </w:r>
            <w:r w:rsidRPr="002C25D6">
              <w:rPr>
                <w:rFonts w:ascii="Arial Hebrew" w:hAnsi="Arial Hebrew" w:cs="Arial Hebrew" w:hint="cs"/>
                <w:bCs/>
                <w:lang w:eastAsia="en-GB"/>
              </w:rPr>
              <w:t xml:space="preserve"> </w:t>
            </w:r>
            <w:r w:rsidRPr="002C25D6">
              <w:rPr>
                <w:rFonts w:ascii="Calibri" w:eastAsia="Calibri" w:hAnsi="Calibri" w:cs="Calibri"/>
                <w:bCs/>
                <w:lang w:eastAsia="en-GB"/>
              </w:rPr>
              <w:t>obehovej</w:t>
            </w:r>
            <w:r w:rsidRPr="002C25D6">
              <w:rPr>
                <w:rFonts w:ascii="Arial Hebrew" w:hAnsi="Arial Hebrew" w:cs="Arial Hebrew" w:hint="cs"/>
                <w:bCs/>
                <w:lang w:eastAsia="en-GB"/>
              </w:rPr>
              <w:t xml:space="preserve"> </w:t>
            </w:r>
            <w:r w:rsidRPr="002C25D6">
              <w:rPr>
                <w:rFonts w:ascii="Calibri" w:eastAsia="Calibri" w:hAnsi="Calibri" w:cs="Calibri"/>
                <w:bCs/>
                <w:lang w:eastAsia="en-GB"/>
              </w:rPr>
              <w:t>ekonomike</w:t>
            </w:r>
            <w:r w:rsidRPr="002C25D6">
              <w:rPr>
                <w:rFonts w:ascii="Arial Hebrew" w:hAnsi="Arial Hebrew" w:cs="Arial Hebrew" w:hint="cs"/>
                <w:bCs/>
                <w:lang w:eastAsia="en-GB"/>
              </w:rPr>
              <w:t xml:space="preserve">, </w:t>
            </w:r>
            <w:r w:rsidRPr="002C25D6">
              <w:rPr>
                <w:rFonts w:ascii="Calibri" w:eastAsia="Calibri" w:hAnsi="Calibri" w:cs="Calibri"/>
                <w:bCs/>
                <w:lang w:eastAsia="en-GB"/>
              </w:rPr>
              <w:t>ekologickej</w:t>
            </w:r>
            <w:r w:rsidRPr="002C25D6">
              <w:rPr>
                <w:rFonts w:ascii="Arial Hebrew" w:hAnsi="Arial Hebrew" w:cs="Arial Hebrew" w:hint="cs"/>
                <w:bCs/>
                <w:lang w:eastAsia="en-GB"/>
              </w:rPr>
              <w:t xml:space="preserve"> </w:t>
            </w:r>
            <w:r w:rsidRPr="002C25D6">
              <w:rPr>
                <w:rFonts w:ascii="Calibri" w:eastAsia="Calibri" w:hAnsi="Calibri" w:cs="Calibri"/>
                <w:bCs/>
                <w:lang w:eastAsia="en-GB"/>
              </w:rPr>
              <w:t>výrobe</w:t>
            </w:r>
            <w:r w:rsidRPr="002C25D6">
              <w:rPr>
                <w:rFonts w:ascii="Arial Hebrew" w:hAnsi="Arial Hebrew" w:cs="Arial Hebrew" w:hint="cs"/>
                <w:bCs/>
                <w:lang w:eastAsia="en-GB"/>
              </w:rPr>
              <w:t xml:space="preserve"> </w:t>
            </w:r>
            <w:r w:rsidRPr="002C25D6">
              <w:rPr>
                <w:rFonts w:ascii="Calibri" w:eastAsia="Calibri" w:hAnsi="Calibri" w:cs="Calibri"/>
                <w:bCs/>
                <w:lang w:eastAsia="en-GB"/>
              </w:rPr>
              <w:t>a</w:t>
            </w:r>
            <w:r w:rsidRPr="002C25D6">
              <w:rPr>
                <w:rFonts w:ascii="Arial Hebrew" w:hAnsi="Arial Hebrew" w:cs="Arial Hebrew" w:hint="cs"/>
                <w:bCs/>
                <w:lang w:eastAsia="en-GB"/>
              </w:rPr>
              <w:t> </w:t>
            </w:r>
            <w:r w:rsidRPr="002C25D6">
              <w:rPr>
                <w:rFonts w:ascii="Calibri" w:eastAsia="Calibri" w:hAnsi="Calibri" w:cs="Calibri"/>
                <w:bCs/>
                <w:lang w:eastAsia="en-GB"/>
              </w:rPr>
              <w:t>spotrebe</w:t>
            </w:r>
            <w:r w:rsidRPr="002C25D6">
              <w:rPr>
                <w:rFonts w:ascii="Arial Hebrew" w:hAnsi="Arial Hebrew" w:cs="Arial Hebrew" w:hint="cs"/>
                <w:bCs/>
                <w:lang w:eastAsia="en-GB"/>
              </w:rPr>
              <w:t xml:space="preserve">, </w:t>
            </w:r>
            <w:r w:rsidRPr="002C25D6">
              <w:rPr>
                <w:rFonts w:ascii="Calibri" w:eastAsia="Calibri" w:hAnsi="Calibri" w:cs="Calibri"/>
                <w:bCs/>
                <w:lang w:eastAsia="en-GB"/>
              </w:rPr>
              <w:t>za</w:t>
            </w:r>
            <w:r w:rsidRPr="002C25D6">
              <w:rPr>
                <w:rFonts w:ascii="Arial Hebrew" w:hAnsi="Arial Hebrew" w:cs="Arial Hebrew" w:hint="cs"/>
                <w:bCs/>
                <w:lang w:eastAsia="en-GB"/>
              </w:rPr>
              <w:t xml:space="preserve"> </w:t>
            </w:r>
            <w:r w:rsidRPr="002C25D6">
              <w:rPr>
                <w:rFonts w:ascii="Calibri" w:eastAsia="Calibri" w:hAnsi="Calibri" w:cs="Calibri"/>
                <w:bCs/>
                <w:lang w:eastAsia="en-GB"/>
              </w:rPr>
              <w:t>znižovania</w:t>
            </w:r>
            <w:r w:rsidRPr="002C25D6">
              <w:rPr>
                <w:rFonts w:ascii="Arial Hebrew" w:hAnsi="Arial Hebrew" w:cs="Arial Hebrew" w:hint="cs"/>
                <w:bCs/>
                <w:lang w:eastAsia="en-GB"/>
              </w:rPr>
              <w:t xml:space="preserve"> </w:t>
            </w:r>
            <w:r w:rsidRPr="002C25D6">
              <w:rPr>
                <w:rFonts w:ascii="Calibri" w:eastAsia="Calibri" w:hAnsi="Calibri" w:cs="Calibri"/>
                <w:bCs/>
                <w:lang w:eastAsia="en-GB"/>
              </w:rPr>
              <w:t>dotácií</w:t>
            </w:r>
            <w:r w:rsidRPr="002C25D6">
              <w:rPr>
                <w:rFonts w:ascii="Arial Hebrew" w:hAnsi="Arial Hebrew" w:cs="Arial Hebrew" w:hint="cs"/>
                <w:bCs/>
                <w:lang w:eastAsia="en-GB"/>
              </w:rPr>
              <w:t xml:space="preserve"> </w:t>
            </w:r>
            <w:r w:rsidRPr="002C25D6">
              <w:rPr>
                <w:rFonts w:ascii="Calibri" w:eastAsia="Calibri" w:hAnsi="Calibri" w:cs="Calibri"/>
                <w:bCs/>
                <w:lang w:eastAsia="en-GB"/>
              </w:rPr>
              <w:t>do</w:t>
            </w:r>
            <w:r w:rsidRPr="002C25D6">
              <w:rPr>
                <w:rFonts w:ascii="Arial Hebrew" w:hAnsi="Arial Hebrew" w:cs="Arial Hebrew" w:hint="cs"/>
                <w:bCs/>
                <w:lang w:eastAsia="en-GB"/>
              </w:rPr>
              <w:t xml:space="preserve"> </w:t>
            </w:r>
            <w:r w:rsidRPr="002C25D6">
              <w:rPr>
                <w:rFonts w:ascii="Calibri" w:eastAsia="Calibri" w:hAnsi="Calibri" w:cs="Calibri"/>
                <w:bCs/>
                <w:lang w:eastAsia="en-GB"/>
              </w:rPr>
              <w:t>problematických</w:t>
            </w:r>
            <w:r w:rsidRPr="002C25D6">
              <w:rPr>
                <w:rFonts w:ascii="Arial Hebrew" w:hAnsi="Arial Hebrew" w:cs="Arial Hebrew" w:hint="cs"/>
                <w:bCs/>
                <w:lang w:eastAsia="en-GB"/>
              </w:rPr>
              <w:t xml:space="preserve"> </w:t>
            </w:r>
            <w:r w:rsidRPr="002C25D6">
              <w:rPr>
                <w:rFonts w:ascii="Calibri" w:eastAsia="Calibri" w:hAnsi="Calibri" w:cs="Calibri"/>
                <w:bCs/>
                <w:lang w:eastAsia="en-GB"/>
              </w:rPr>
              <w:t>odvetví</w:t>
            </w:r>
            <w:r w:rsidRPr="002C25D6">
              <w:rPr>
                <w:rFonts w:ascii="Arial Hebrew" w:hAnsi="Arial Hebrew" w:cs="Arial Hebrew" w:hint="cs"/>
                <w:bCs/>
                <w:lang w:eastAsia="en-GB"/>
              </w:rPr>
              <w:t xml:space="preserve"> </w:t>
            </w:r>
            <w:r w:rsidRPr="002C25D6">
              <w:rPr>
                <w:rFonts w:ascii="Calibri" w:eastAsia="Calibri" w:hAnsi="Calibri" w:cs="Calibri"/>
                <w:bCs/>
                <w:lang w:eastAsia="en-GB"/>
              </w:rPr>
              <w:t>a</w:t>
            </w:r>
            <w:r w:rsidRPr="002C25D6">
              <w:rPr>
                <w:rFonts w:ascii="Arial Hebrew" w:hAnsi="Arial Hebrew" w:cs="Arial Hebrew" w:hint="cs"/>
                <w:bCs/>
                <w:lang w:eastAsia="en-GB"/>
              </w:rPr>
              <w:t> </w:t>
            </w:r>
            <w:r w:rsidRPr="002C25D6">
              <w:rPr>
                <w:rFonts w:ascii="Calibri" w:eastAsia="Calibri" w:hAnsi="Calibri" w:cs="Calibri"/>
                <w:bCs/>
                <w:lang w:eastAsia="en-GB"/>
              </w:rPr>
              <w:t>internalizácie</w:t>
            </w:r>
            <w:r w:rsidRPr="002C25D6">
              <w:rPr>
                <w:rFonts w:ascii="Arial Hebrew" w:hAnsi="Arial Hebrew" w:cs="Arial Hebrew" w:hint="cs"/>
                <w:bCs/>
                <w:lang w:eastAsia="en-GB"/>
              </w:rPr>
              <w:t xml:space="preserve"> </w:t>
            </w:r>
            <w:r w:rsidRPr="002C25D6">
              <w:rPr>
                <w:rFonts w:ascii="Calibri" w:eastAsia="Calibri" w:hAnsi="Calibri" w:cs="Calibri"/>
                <w:bCs/>
                <w:lang w:eastAsia="en-GB"/>
              </w:rPr>
              <w:t>externých</w:t>
            </w:r>
            <w:r w:rsidRPr="002C25D6">
              <w:rPr>
                <w:rFonts w:ascii="Arial Hebrew" w:hAnsi="Arial Hebrew" w:cs="Arial Hebrew" w:hint="cs"/>
                <w:bCs/>
                <w:lang w:eastAsia="en-GB"/>
              </w:rPr>
              <w:t xml:space="preserve"> </w:t>
            </w:r>
            <w:r w:rsidRPr="002C25D6">
              <w:rPr>
                <w:rFonts w:ascii="Calibri" w:eastAsia="Calibri" w:hAnsi="Calibri" w:cs="Calibri"/>
                <w:bCs/>
                <w:lang w:eastAsia="en-GB"/>
              </w:rPr>
              <w:t>sociálnych</w:t>
            </w:r>
            <w:r w:rsidRPr="002C25D6">
              <w:rPr>
                <w:rFonts w:ascii="Arial Hebrew" w:hAnsi="Arial Hebrew" w:cs="Arial Hebrew" w:hint="cs"/>
                <w:bCs/>
                <w:lang w:eastAsia="en-GB"/>
              </w:rPr>
              <w:t xml:space="preserve"> </w:t>
            </w:r>
            <w:r w:rsidRPr="002C25D6">
              <w:rPr>
                <w:rFonts w:ascii="Calibri" w:eastAsia="Calibri" w:hAnsi="Calibri" w:cs="Calibri"/>
                <w:bCs/>
                <w:lang w:eastAsia="en-GB"/>
              </w:rPr>
              <w:t>a</w:t>
            </w:r>
            <w:r w:rsidRPr="002C25D6">
              <w:rPr>
                <w:rFonts w:ascii="Arial Hebrew" w:hAnsi="Arial Hebrew" w:cs="Arial Hebrew" w:hint="cs"/>
                <w:bCs/>
                <w:lang w:eastAsia="en-GB"/>
              </w:rPr>
              <w:t> </w:t>
            </w:r>
            <w:r w:rsidRPr="002C25D6">
              <w:rPr>
                <w:rFonts w:ascii="Calibri" w:eastAsia="Calibri" w:hAnsi="Calibri" w:cs="Calibri"/>
                <w:bCs/>
                <w:lang w:eastAsia="en-GB"/>
              </w:rPr>
              <w:t>environmentálnych</w:t>
            </w:r>
            <w:r w:rsidRPr="002C25D6">
              <w:rPr>
                <w:rFonts w:ascii="Arial Hebrew" w:hAnsi="Arial Hebrew" w:cs="Arial Hebrew" w:hint="cs"/>
                <w:bCs/>
                <w:lang w:eastAsia="en-GB"/>
              </w:rPr>
              <w:t xml:space="preserve"> </w:t>
            </w:r>
            <w:r w:rsidRPr="002C25D6">
              <w:rPr>
                <w:rFonts w:ascii="Calibri" w:eastAsia="Calibri" w:hAnsi="Calibri" w:cs="Calibri"/>
                <w:bCs/>
                <w:lang w:eastAsia="en-GB"/>
              </w:rPr>
              <w:t>nákladov</w:t>
            </w:r>
            <w:r w:rsidR="006E2E8C">
              <w:rPr>
                <w:rFonts w:ascii="Arial Hebrew" w:hAnsi="Arial Hebrew" w:cs="Arial Hebrew"/>
                <w:bCs/>
                <w:lang w:eastAsia="en-GB"/>
              </w:rPr>
              <w:t>.</w:t>
            </w:r>
          </w:p>
        </w:tc>
      </w:tr>
      <w:tr w:rsidR="00B85B89" w:rsidRPr="002C25D6" w14:paraId="499EC095" w14:textId="77777777" w:rsidTr="002C25D6">
        <w:tc>
          <w:tcPr>
            <w:tcW w:w="1677" w:type="dxa"/>
            <w:tcMar>
              <w:left w:w="28" w:type="dxa"/>
              <w:right w:w="28" w:type="dxa"/>
            </w:tcMar>
            <w:vAlign w:val="center"/>
          </w:tcPr>
          <w:p w14:paraId="51774850" w14:textId="63C57DC1" w:rsidR="00B85B89" w:rsidRPr="002C25D6" w:rsidRDefault="00B85B89" w:rsidP="002C25D6">
            <w:pPr>
              <w:pStyle w:val="Tabuka"/>
              <w:contextualSpacing w:val="0"/>
              <w:rPr>
                <w:rFonts w:ascii="Arial Hebrew" w:eastAsiaTheme="majorEastAsia" w:hAnsi="Arial Hebrew" w:cs="Arial Hebrew"/>
                <w:b/>
                <w:bCs/>
              </w:rPr>
            </w:pPr>
            <w:r w:rsidRPr="002C25D6">
              <w:rPr>
                <w:rFonts w:ascii="Calibri" w:eastAsia="Calibri" w:hAnsi="Calibri" w:cs="Calibri"/>
                <w:b/>
              </w:rPr>
              <w:t>Vzdelanie</w:t>
            </w:r>
            <w:r w:rsidRPr="002C25D6">
              <w:rPr>
                <w:rFonts w:ascii="Arial Hebrew" w:hAnsi="Arial Hebrew" w:cs="Arial Hebrew" w:hint="cs"/>
                <w:b/>
              </w:rPr>
              <w:t xml:space="preserve"> </w:t>
            </w:r>
            <w:r w:rsidRPr="002C25D6">
              <w:rPr>
                <w:rFonts w:ascii="Calibri" w:eastAsia="Calibri" w:hAnsi="Calibri" w:cs="Calibri"/>
                <w:b/>
              </w:rPr>
              <w:t>pre</w:t>
            </w:r>
            <w:r w:rsidRPr="002C25D6">
              <w:rPr>
                <w:rFonts w:ascii="Arial Hebrew" w:hAnsi="Arial Hebrew" w:cs="Arial Hebrew" w:hint="cs"/>
                <w:b/>
              </w:rPr>
              <w:t xml:space="preserve"> </w:t>
            </w:r>
            <w:r w:rsidRPr="002C25D6">
              <w:rPr>
                <w:rFonts w:ascii="Calibri" w:eastAsia="Calibri" w:hAnsi="Calibri" w:cs="Calibri"/>
                <w:b/>
              </w:rPr>
              <w:t>udržateľný</w:t>
            </w:r>
            <w:r w:rsidRPr="002C25D6">
              <w:rPr>
                <w:rFonts w:ascii="Arial Hebrew" w:hAnsi="Arial Hebrew" w:cs="Arial Hebrew" w:hint="cs"/>
                <w:b/>
              </w:rPr>
              <w:t xml:space="preserve"> </w:t>
            </w:r>
            <w:r w:rsidRPr="002C25D6">
              <w:rPr>
                <w:rFonts w:ascii="Calibri" w:eastAsia="Calibri" w:hAnsi="Calibri" w:cs="Calibri"/>
                <w:b/>
              </w:rPr>
              <w:t>rozvoj</w:t>
            </w:r>
          </w:p>
        </w:tc>
        <w:tc>
          <w:tcPr>
            <w:tcW w:w="1701" w:type="dxa"/>
            <w:tcMar>
              <w:left w:w="28" w:type="dxa"/>
              <w:right w:w="28" w:type="dxa"/>
            </w:tcMar>
            <w:vAlign w:val="center"/>
          </w:tcPr>
          <w:p w14:paraId="681DF3F6" w14:textId="5F5B7CF7" w:rsidR="00B85B89" w:rsidRPr="002C25D6" w:rsidRDefault="00294E62" w:rsidP="002C25D6">
            <w:pPr>
              <w:pStyle w:val="Tabuka"/>
              <w:contextualSpacing w:val="0"/>
              <w:jc w:val="center"/>
              <w:rPr>
                <w:rFonts w:ascii="Arial Hebrew" w:eastAsia="Times New Roman" w:hAnsi="Arial Hebrew" w:cs="Arial Hebrew"/>
                <w:bCs/>
                <w:color w:val="000000"/>
              </w:rPr>
            </w:pPr>
            <w:r w:rsidRPr="002C25D6">
              <w:rPr>
                <w:rFonts w:ascii="Arial Hebrew" w:hAnsi="Arial Hebrew" w:cs="Arial Hebrew" w:hint="cs"/>
                <w:noProof/>
                <w:lang w:val="cs-CZ" w:eastAsia="cs-CZ"/>
              </w:rPr>
              <w:drawing>
                <wp:inline distT="0" distB="0" distL="0" distR="0" wp14:anchorId="50F1964C" wp14:editId="5F1FBB26">
                  <wp:extent cx="360000" cy="360000"/>
                  <wp:effectExtent l="0" t="0" r="2540" b="2540"/>
                  <wp:docPr id="36" name="Obrázok 8" descr="Image result for 17 SDG c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17 SDG cie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Pr="002C25D6">
              <w:rPr>
                <w:rFonts w:ascii="Arial Hebrew" w:hAnsi="Arial Hebrew" w:cs="Arial Hebrew" w:hint="cs"/>
                <w:noProof/>
              </w:rPr>
              <w:t xml:space="preserve"> </w:t>
            </w:r>
            <w:r w:rsidR="00B85B89" w:rsidRPr="002C25D6">
              <w:rPr>
                <w:rFonts w:ascii="Arial Hebrew" w:hAnsi="Arial Hebrew" w:cs="Arial Hebrew" w:hint="cs"/>
                <w:noProof/>
                <w:lang w:val="cs-CZ" w:eastAsia="cs-CZ"/>
              </w:rPr>
              <w:drawing>
                <wp:inline distT="0" distB="0" distL="0" distR="0" wp14:anchorId="3994F0F2" wp14:editId="21EC44D7">
                  <wp:extent cx="360000" cy="360000"/>
                  <wp:effectExtent l="0" t="0" r="2540" b="2540"/>
                  <wp:docPr id="35" name="Obrázok 9" descr="C:\Users\Vlado\Documents\SDG 8 dôstojná práca a ekonomický 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o\Documents\SDG 8 dôstojná práca a ekonomický ra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r w:rsidR="00B85B89" w:rsidRPr="002C25D6">
              <w:rPr>
                <w:rFonts w:ascii="Arial Hebrew" w:hAnsi="Arial Hebrew" w:cs="Arial Hebrew" w:hint="cs"/>
                <w:noProof/>
              </w:rPr>
              <w:t xml:space="preserve"> </w:t>
            </w:r>
          </w:p>
        </w:tc>
        <w:tc>
          <w:tcPr>
            <w:tcW w:w="11081" w:type="dxa"/>
            <w:tcMar>
              <w:left w:w="28" w:type="dxa"/>
              <w:right w:w="28" w:type="dxa"/>
            </w:tcMar>
            <w:vAlign w:val="center"/>
          </w:tcPr>
          <w:p w14:paraId="60250878" w14:textId="4B7265E1" w:rsidR="00B85B89" w:rsidRPr="002C25D6" w:rsidRDefault="006E2E8C" w:rsidP="006E2E8C">
            <w:pPr>
              <w:pStyle w:val="Tabuka"/>
              <w:numPr>
                <w:ilvl w:val="0"/>
                <w:numId w:val="26"/>
              </w:numPr>
              <w:contextualSpacing w:val="0"/>
              <w:rPr>
                <w:rFonts w:ascii="Arial Hebrew" w:hAnsi="Arial Hebrew" w:cs="Arial Hebrew"/>
              </w:rPr>
            </w:pPr>
            <w:r>
              <w:rPr>
                <w:rFonts w:ascii="Calibri" w:eastAsia="Calibri" w:hAnsi="Calibri" w:cs="Calibri"/>
              </w:rPr>
              <w:t>Zlepšovanie k</w:t>
            </w:r>
            <w:r w:rsidR="00B85B89" w:rsidRPr="002C25D6">
              <w:rPr>
                <w:rFonts w:ascii="Calibri" w:eastAsia="Calibri" w:hAnsi="Calibri" w:cs="Calibri"/>
              </w:rPr>
              <w:t>valit</w:t>
            </w:r>
            <w:r>
              <w:rPr>
                <w:rFonts w:ascii="Calibri" w:eastAsia="Calibri" w:hAnsi="Calibri" w:cs="Calibri"/>
              </w:rPr>
              <w:t>y</w:t>
            </w:r>
            <w:r w:rsidR="00B85B89" w:rsidRPr="002C25D6">
              <w:rPr>
                <w:rFonts w:ascii="Arial Hebrew" w:hAnsi="Arial Hebrew" w:cs="Arial Hebrew" w:hint="cs"/>
              </w:rPr>
              <w:t xml:space="preserve"> </w:t>
            </w:r>
            <w:r w:rsidR="00B85B89" w:rsidRPr="002C25D6">
              <w:rPr>
                <w:rFonts w:ascii="Calibri" w:eastAsia="Calibri" w:hAnsi="Calibri" w:cs="Calibri"/>
              </w:rPr>
              <w:t>základného</w:t>
            </w:r>
            <w:r w:rsidR="00B85B89" w:rsidRPr="002C25D6">
              <w:rPr>
                <w:rFonts w:ascii="Arial Hebrew" w:hAnsi="Arial Hebrew" w:cs="Arial Hebrew" w:hint="cs"/>
              </w:rPr>
              <w:t xml:space="preserve"> </w:t>
            </w:r>
            <w:r w:rsidR="00B85B89" w:rsidRPr="002C25D6">
              <w:rPr>
                <w:rFonts w:ascii="Calibri" w:eastAsia="Calibri" w:hAnsi="Calibri" w:cs="Calibri"/>
              </w:rPr>
              <w:t>školstva</w:t>
            </w:r>
            <w:r w:rsidR="00B85B89" w:rsidRPr="002C25D6">
              <w:rPr>
                <w:rFonts w:ascii="Arial Hebrew" w:hAnsi="Arial Hebrew" w:cs="Arial Hebrew" w:hint="cs"/>
              </w:rPr>
              <w:t xml:space="preserve"> </w:t>
            </w:r>
            <w:r w:rsidR="00B85B89" w:rsidRPr="002C25D6">
              <w:rPr>
                <w:rFonts w:ascii="Calibri" w:eastAsia="Calibri" w:hAnsi="Calibri" w:cs="Calibri"/>
              </w:rPr>
              <w:t>a</w:t>
            </w:r>
            <w:r w:rsidR="00B85B89" w:rsidRPr="002C25D6">
              <w:rPr>
                <w:rFonts w:ascii="Arial Hebrew" w:hAnsi="Arial Hebrew" w:cs="Arial Hebrew" w:hint="cs"/>
              </w:rPr>
              <w:t> </w:t>
            </w:r>
            <w:r w:rsidR="00B85B89" w:rsidRPr="002C25D6">
              <w:rPr>
                <w:rFonts w:ascii="Calibri" w:eastAsia="Calibri" w:hAnsi="Calibri" w:cs="Calibri"/>
              </w:rPr>
              <w:t>výsledk</w:t>
            </w:r>
            <w:r>
              <w:rPr>
                <w:rFonts w:ascii="Calibri" w:eastAsia="Calibri" w:hAnsi="Calibri" w:cs="Calibri"/>
              </w:rPr>
              <w:t>ov</w:t>
            </w:r>
            <w:r w:rsidR="00B85B89" w:rsidRPr="002C25D6">
              <w:rPr>
                <w:rFonts w:ascii="Arial Hebrew" w:hAnsi="Arial Hebrew" w:cs="Arial Hebrew" w:hint="cs"/>
              </w:rPr>
              <w:t xml:space="preserve"> </w:t>
            </w:r>
            <w:r w:rsidR="00B85B89" w:rsidRPr="002C25D6">
              <w:rPr>
                <w:rFonts w:ascii="Calibri" w:eastAsia="Calibri" w:hAnsi="Calibri" w:cs="Calibri"/>
              </w:rPr>
              <w:t>žiakov</w:t>
            </w:r>
            <w:r w:rsidR="00B85B89" w:rsidRPr="002C25D6">
              <w:rPr>
                <w:rFonts w:ascii="Arial Hebrew" w:hAnsi="Arial Hebrew" w:cs="Arial Hebrew" w:hint="cs"/>
              </w:rPr>
              <w:t xml:space="preserve"> </w:t>
            </w:r>
            <w:r w:rsidR="00B85B89" w:rsidRPr="002C25D6">
              <w:rPr>
                <w:rFonts w:ascii="Calibri" w:eastAsia="Calibri" w:hAnsi="Calibri" w:cs="Calibri"/>
              </w:rPr>
              <w:t>v</w:t>
            </w:r>
            <w:r w:rsidR="00B85B89" w:rsidRPr="002C25D6">
              <w:rPr>
                <w:rFonts w:ascii="Arial Hebrew" w:hAnsi="Arial Hebrew" w:cs="Arial Hebrew" w:hint="cs"/>
              </w:rPr>
              <w:t> </w:t>
            </w:r>
            <w:r w:rsidR="00B85B89" w:rsidRPr="002C25D6">
              <w:rPr>
                <w:rFonts w:ascii="Calibri" w:eastAsia="Calibri" w:hAnsi="Calibri" w:cs="Calibri"/>
              </w:rPr>
              <w:t>medzinárodnom</w:t>
            </w:r>
            <w:r w:rsidR="00B85B89" w:rsidRPr="002C25D6">
              <w:rPr>
                <w:rFonts w:ascii="Arial Hebrew" w:hAnsi="Arial Hebrew" w:cs="Arial Hebrew" w:hint="cs"/>
              </w:rPr>
              <w:t xml:space="preserve"> </w:t>
            </w:r>
            <w:r w:rsidR="00B85B89" w:rsidRPr="002C25D6">
              <w:rPr>
                <w:rFonts w:ascii="Calibri" w:eastAsia="Calibri" w:hAnsi="Calibri" w:cs="Calibri"/>
              </w:rPr>
              <w:t>testovaní</w:t>
            </w:r>
            <w:r>
              <w:rPr>
                <w:rFonts w:ascii="Calibri" w:eastAsia="Calibri" w:hAnsi="Calibri" w:cs="Calibri"/>
              </w:rPr>
              <w:t>.</w:t>
            </w:r>
            <w:r w:rsidR="00B85B89" w:rsidRPr="002C25D6">
              <w:rPr>
                <w:rFonts w:ascii="Arial Hebrew" w:hAnsi="Arial Hebrew" w:cs="Arial Hebrew" w:hint="cs"/>
              </w:rPr>
              <w:t xml:space="preserve"> </w:t>
            </w:r>
          </w:p>
          <w:p w14:paraId="07C2D736" w14:textId="47DCD8D5" w:rsidR="00B85B89" w:rsidRPr="006E47E2" w:rsidRDefault="006E2E8C" w:rsidP="00BA2ED5">
            <w:pPr>
              <w:pStyle w:val="Tabuka"/>
              <w:numPr>
                <w:ilvl w:val="0"/>
                <w:numId w:val="26"/>
              </w:numPr>
              <w:contextualSpacing w:val="0"/>
              <w:rPr>
                <w:rFonts w:asciiTheme="minorHAnsi" w:hAnsiTheme="minorHAnsi" w:cs="Arial Hebrew"/>
              </w:rPr>
            </w:pPr>
            <w:r>
              <w:rPr>
                <w:rFonts w:ascii="Calibri" w:eastAsia="Calibri" w:hAnsi="Calibri" w:cs="Calibri"/>
              </w:rPr>
              <w:t xml:space="preserve">Zabezpečenie </w:t>
            </w:r>
            <w:proofErr w:type="spellStart"/>
            <w:r>
              <w:rPr>
                <w:rFonts w:ascii="Calibri" w:eastAsia="Calibri" w:hAnsi="Calibri" w:cs="Calibri"/>
              </w:rPr>
              <w:t>i</w:t>
            </w:r>
            <w:r w:rsidR="00B85B89" w:rsidRPr="002C25D6">
              <w:rPr>
                <w:rFonts w:ascii="Calibri" w:eastAsia="Calibri" w:hAnsi="Calibri" w:cs="Calibri"/>
              </w:rPr>
              <w:t>nkluzívn</w:t>
            </w:r>
            <w:r w:rsidR="00BA2ED5">
              <w:rPr>
                <w:rFonts w:ascii="Calibri" w:eastAsia="Calibri" w:hAnsi="Calibri" w:cs="Calibri"/>
              </w:rPr>
              <w:t>eho</w:t>
            </w:r>
            <w:proofErr w:type="spellEnd"/>
            <w:r w:rsidR="00B85B89" w:rsidRPr="002C25D6">
              <w:rPr>
                <w:rFonts w:ascii="Arial Hebrew" w:hAnsi="Arial Hebrew" w:cs="Arial Hebrew" w:hint="cs"/>
              </w:rPr>
              <w:t xml:space="preserve"> </w:t>
            </w:r>
            <w:r w:rsidR="00B85B89" w:rsidRPr="002C25D6">
              <w:rPr>
                <w:rFonts w:ascii="Calibri" w:eastAsia="Calibri" w:hAnsi="Calibri" w:cs="Calibri"/>
              </w:rPr>
              <w:t>vzdeláva</w:t>
            </w:r>
            <w:r w:rsidR="00BA2ED5">
              <w:rPr>
                <w:rFonts w:ascii="Calibri" w:eastAsia="Calibri" w:hAnsi="Calibri" w:cs="Calibri"/>
              </w:rPr>
              <w:t>nia</w:t>
            </w:r>
            <w:r w:rsidR="00B85B89" w:rsidRPr="002C25D6">
              <w:rPr>
                <w:rFonts w:ascii="Arial Hebrew" w:hAnsi="Arial Hebrew" w:cs="Arial Hebrew" w:hint="cs"/>
              </w:rPr>
              <w:t xml:space="preserve">, </w:t>
            </w:r>
            <w:r w:rsidR="00B85B89" w:rsidRPr="002C25D6">
              <w:rPr>
                <w:rFonts w:ascii="Calibri" w:eastAsia="Calibri" w:hAnsi="Calibri" w:cs="Calibri"/>
              </w:rPr>
              <w:t>rovna</w:t>
            </w:r>
            <w:r w:rsidR="003875AC" w:rsidRPr="002C25D6">
              <w:rPr>
                <w:rFonts w:ascii="Calibri" w:eastAsia="Calibri" w:hAnsi="Calibri" w:cs="Calibri"/>
              </w:rPr>
              <w:t>k</w:t>
            </w:r>
            <w:r>
              <w:rPr>
                <w:rFonts w:ascii="Calibri" w:eastAsia="Calibri" w:hAnsi="Calibri" w:cs="Calibri"/>
              </w:rPr>
              <w:t>ých</w:t>
            </w:r>
            <w:r w:rsidR="00B85B89" w:rsidRPr="002C25D6">
              <w:rPr>
                <w:rFonts w:ascii="Arial Hebrew" w:hAnsi="Arial Hebrew" w:cs="Arial Hebrew" w:hint="cs"/>
              </w:rPr>
              <w:t xml:space="preserve"> </w:t>
            </w:r>
            <w:r w:rsidR="00B85B89" w:rsidRPr="002C25D6">
              <w:rPr>
                <w:rFonts w:ascii="Calibri" w:eastAsia="Calibri" w:hAnsi="Calibri" w:cs="Calibri"/>
              </w:rPr>
              <w:t>príležitost</w:t>
            </w:r>
            <w:r>
              <w:rPr>
                <w:rFonts w:ascii="Calibri" w:eastAsia="Calibri" w:hAnsi="Calibri" w:cs="Calibri"/>
              </w:rPr>
              <w:t>í</w:t>
            </w:r>
            <w:r w:rsidR="00B85B89" w:rsidRPr="002C25D6">
              <w:rPr>
                <w:rFonts w:ascii="Arial Hebrew" w:hAnsi="Arial Hebrew" w:cs="Arial Hebrew" w:hint="cs"/>
              </w:rPr>
              <w:t xml:space="preserve"> </w:t>
            </w:r>
            <w:r w:rsidR="00B85B89" w:rsidRPr="002C25D6">
              <w:rPr>
                <w:rFonts w:ascii="Calibri" w:eastAsia="Calibri" w:hAnsi="Calibri" w:cs="Calibri"/>
              </w:rPr>
              <w:t>pre</w:t>
            </w:r>
            <w:r w:rsidR="00B85B89" w:rsidRPr="002C25D6">
              <w:rPr>
                <w:rFonts w:ascii="Arial Hebrew" w:hAnsi="Arial Hebrew" w:cs="Arial Hebrew" w:hint="cs"/>
              </w:rPr>
              <w:t xml:space="preserve"> </w:t>
            </w:r>
            <w:r w:rsidR="00B85B89" w:rsidRPr="002C25D6">
              <w:rPr>
                <w:rFonts w:ascii="Calibri" w:eastAsia="Calibri" w:hAnsi="Calibri" w:cs="Calibri"/>
              </w:rPr>
              <w:t>všetky</w:t>
            </w:r>
            <w:r w:rsidR="00B85B89" w:rsidRPr="002C25D6">
              <w:rPr>
                <w:rFonts w:ascii="Arial Hebrew" w:hAnsi="Arial Hebrew" w:cs="Arial Hebrew" w:hint="cs"/>
              </w:rPr>
              <w:t xml:space="preserve"> </w:t>
            </w:r>
            <w:r w:rsidR="00B85B89" w:rsidRPr="006E47E2">
              <w:rPr>
                <w:rFonts w:asciiTheme="minorHAnsi" w:eastAsia="Calibri" w:hAnsiTheme="minorHAnsi" w:cs="Calibri"/>
              </w:rPr>
              <w:t>deti</w:t>
            </w:r>
            <w:r w:rsidR="00B85B89" w:rsidRPr="006E47E2">
              <w:rPr>
                <w:rFonts w:asciiTheme="minorHAnsi" w:hAnsiTheme="minorHAnsi" w:cs="Arial Hebrew"/>
              </w:rPr>
              <w:t xml:space="preserve"> </w:t>
            </w:r>
            <w:r w:rsidR="00B85B89" w:rsidRPr="006E47E2">
              <w:rPr>
                <w:rFonts w:asciiTheme="minorHAnsi" w:eastAsia="Calibri" w:hAnsiTheme="minorHAnsi" w:cs="Calibri"/>
              </w:rPr>
              <w:t>a</w:t>
            </w:r>
            <w:r w:rsidR="00B85B89" w:rsidRPr="006E47E2">
              <w:rPr>
                <w:rFonts w:asciiTheme="minorHAnsi" w:hAnsiTheme="minorHAnsi" w:cs="Arial Hebrew"/>
              </w:rPr>
              <w:t> </w:t>
            </w:r>
            <w:r w:rsidRPr="006E47E2">
              <w:rPr>
                <w:rFonts w:asciiTheme="minorHAnsi" w:hAnsiTheme="minorHAnsi" w:cs="Arial Hebrew"/>
              </w:rPr>
              <w:t>možnosti</w:t>
            </w:r>
            <w:r w:rsidR="00B85B89" w:rsidRPr="006E47E2">
              <w:rPr>
                <w:rFonts w:asciiTheme="minorHAnsi" w:hAnsiTheme="minorHAnsi" w:cs="Arial Hebrew"/>
              </w:rPr>
              <w:t xml:space="preserve"> </w:t>
            </w:r>
            <w:r w:rsidR="00B85B89" w:rsidRPr="006E47E2">
              <w:rPr>
                <w:rFonts w:asciiTheme="minorHAnsi" w:eastAsia="Calibri" w:hAnsiTheme="minorHAnsi" w:cs="Calibri"/>
              </w:rPr>
              <w:t>sociálnej</w:t>
            </w:r>
            <w:r w:rsidR="00B85B89" w:rsidRPr="006E47E2">
              <w:rPr>
                <w:rFonts w:asciiTheme="minorHAnsi" w:hAnsiTheme="minorHAnsi" w:cs="Arial Hebrew"/>
              </w:rPr>
              <w:t xml:space="preserve"> </w:t>
            </w:r>
            <w:r w:rsidR="00B85B89" w:rsidRPr="006E47E2">
              <w:rPr>
                <w:rFonts w:asciiTheme="minorHAnsi" w:eastAsia="Calibri" w:hAnsiTheme="minorHAnsi" w:cs="Calibri"/>
              </w:rPr>
              <w:t>mobility</w:t>
            </w:r>
            <w:r w:rsidRPr="006E47E2">
              <w:rPr>
                <w:rFonts w:asciiTheme="minorHAnsi" w:eastAsia="Calibri" w:hAnsiTheme="minorHAnsi" w:cs="Calibri"/>
              </w:rPr>
              <w:t>.</w:t>
            </w:r>
          </w:p>
          <w:p w14:paraId="6305866A" w14:textId="3B180283" w:rsidR="00B85B89" w:rsidRPr="002C25D6" w:rsidRDefault="006E2E8C" w:rsidP="006E2E8C">
            <w:pPr>
              <w:pStyle w:val="Tabuka"/>
              <w:numPr>
                <w:ilvl w:val="0"/>
                <w:numId w:val="26"/>
              </w:numPr>
              <w:contextualSpacing w:val="0"/>
              <w:rPr>
                <w:rFonts w:ascii="Arial Hebrew" w:hAnsi="Arial Hebrew" w:cs="Arial Hebrew"/>
              </w:rPr>
            </w:pPr>
            <w:r w:rsidRPr="006E2E8C">
              <w:rPr>
                <w:rFonts w:ascii="Calibri" w:eastAsia="Calibri" w:hAnsi="Calibri" w:cs="Calibri"/>
                <w:bCs/>
              </w:rPr>
              <w:t xml:space="preserve">Zvyšovanie efektívnosti trhu práce a </w:t>
            </w:r>
            <w:r>
              <w:rPr>
                <w:rFonts w:ascii="Calibri" w:eastAsia="Calibri" w:hAnsi="Calibri" w:cs="Calibri"/>
                <w:bCs/>
              </w:rPr>
              <w:t>dostupnosti</w:t>
            </w:r>
            <w:r w:rsidRPr="006E2E8C">
              <w:rPr>
                <w:rFonts w:ascii="Calibri" w:eastAsia="Calibri" w:hAnsi="Calibri" w:cs="Calibri"/>
                <w:bCs/>
              </w:rPr>
              <w:t xml:space="preserve"> pracovných </w:t>
            </w:r>
            <w:r>
              <w:rPr>
                <w:rFonts w:ascii="Calibri" w:eastAsia="Calibri" w:hAnsi="Calibri" w:cs="Calibri"/>
                <w:bCs/>
              </w:rPr>
              <w:t>príležitostí</w:t>
            </w:r>
            <w:r w:rsidRPr="006E2E8C">
              <w:rPr>
                <w:rFonts w:ascii="Calibri" w:eastAsia="Calibri" w:hAnsi="Calibri" w:cs="Calibri"/>
                <w:bCs/>
              </w:rPr>
              <w:t xml:space="preserve"> pre všetky skupiny obyvateľov</w:t>
            </w:r>
            <w:r w:rsidR="006E47E2">
              <w:rPr>
                <w:rFonts w:ascii="Calibri" w:eastAsia="Calibri" w:hAnsi="Calibri" w:cs="Calibri"/>
                <w:bCs/>
              </w:rPr>
              <w:t>.</w:t>
            </w:r>
            <w:r w:rsidRPr="006E2E8C" w:rsidDel="006E2E8C">
              <w:rPr>
                <w:rFonts w:ascii="Calibri" w:eastAsia="Calibri" w:hAnsi="Calibri" w:cs="Calibri"/>
                <w:bCs/>
              </w:rPr>
              <w:t xml:space="preserve"> </w:t>
            </w:r>
            <w:r>
              <w:rPr>
                <w:rFonts w:ascii="Calibri" w:eastAsia="Calibri" w:hAnsi="Calibri" w:cs="Calibri"/>
              </w:rPr>
              <w:t>Znižovanie š</w:t>
            </w:r>
            <w:r w:rsidR="00B85B89" w:rsidRPr="002C25D6">
              <w:rPr>
                <w:rFonts w:ascii="Calibri" w:eastAsia="Calibri" w:hAnsi="Calibri" w:cs="Calibri"/>
              </w:rPr>
              <w:t>trukturáln</w:t>
            </w:r>
            <w:r>
              <w:rPr>
                <w:rFonts w:ascii="Calibri" w:eastAsia="Calibri" w:hAnsi="Calibri" w:cs="Calibri"/>
              </w:rPr>
              <w:t>eho</w:t>
            </w:r>
            <w:r w:rsidR="00B85B89" w:rsidRPr="002C25D6">
              <w:rPr>
                <w:rFonts w:ascii="Arial Hebrew" w:hAnsi="Arial Hebrew" w:cs="Arial Hebrew" w:hint="cs"/>
              </w:rPr>
              <w:t xml:space="preserve"> </w:t>
            </w:r>
            <w:r w:rsidR="003875AC" w:rsidRPr="002C25D6">
              <w:rPr>
                <w:rFonts w:ascii="Calibri" w:eastAsia="Calibri" w:hAnsi="Calibri" w:cs="Calibri"/>
              </w:rPr>
              <w:t>nesúlad</w:t>
            </w:r>
            <w:r>
              <w:rPr>
                <w:rFonts w:ascii="Calibri" w:eastAsia="Calibri" w:hAnsi="Calibri" w:cs="Calibri"/>
              </w:rPr>
              <w:t>u</w:t>
            </w:r>
            <w:r w:rsidR="00B85B89" w:rsidRPr="002C25D6">
              <w:rPr>
                <w:rFonts w:ascii="Arial Hebrew" w:hAnsi="Arial Hebrew" w:cs="Arial Hebrew" w:hint="cs"/>
              </w:rPr>
              <w:t xml:space="preserve"> </w:t>
            </w:r>
            <w:r w:rsidR="00B85B89" w:rsidRPr="002C25D6">
              <w:rPr>
                <w:rFonts w:ascii="Calibri" w:eastAsia="Calibri" w:hAnsi="Calibri" w:cs="Calibri"/>
              </w:rPr>
              <w:t>medzi</w:t>
            </w:r>
            <w:r w:rsidR="00B85B89" w:rsidRPr="002C25D6">
              <w:rPr>
                <w:rFonts w:ascii="Arial Hebrew" w:hAnsi="Arial Hebrew" w:cs="Arial Hebrew" w:hint="cs"/>
              </w:rPr>
              <w:t xml:space="preserve"> </w:t>
            </w:r>
            <w:r w:rsidR="00B85B89" w:rsidRPr="002C25D6">
              <w:rPr>
                <w:rFonts w:ascii="Calibri" w:eastAsia="Calibri" w:hAnsi="Calibri" w:cs="Calibri"/>
              </w:rPr>
              <w:t>ponukou</w:t>
            </w:r>
            <w:r w:rsidR="00B85B89" w:rsidRPr="002C25D6">
              <w:rPr>
                <w:rFonts w:ascii="Arial Hebrew" w:hAnsi="Arial Hebrew" w:cs="Arial Hebrew" w:hint="cs"/>
              </w:rPr>
              <w:t xml:space="preserve"> </w:t>
            </w:r>
            <w:r w:rsidR="00B85B89" w:rsidRPr="002C25D6">
              <w:rPr>
                <w:rFonts w:ascii="Calibri" w:eastAsia="Calibri" w:hAnsi="Calibri" w:cs="Calibri"/>
              </w:rPr>
              <w:t>pracovnej</w:t>
            </w:r>
            <w:r w:rsidR="00B85B89" w:rsidRPr="002C25D6">
              <w:rPr>
                <w:rFonts w:ascii="Arial Hebrew" w:hAnsi="Arial Hebrew" w:cs="Arial Hebrew" w:hint="cs"/>
              </w:rPr>
              <w:t xml:space="preserve"> </w:t>
            </w:r>
            <w:r w:rsidR="00B85B89" w:rsidRPr="002C25D6">
              <w:rPr>
                <w:rFonts w:ascii="Calibri" w:eastAsia="Calibri" w:hAnsi="Calibri" w:cs="Calibri"/>
              </w:rPr>
              <w:t>sily</w:t>
            </w:r>
            <w:r w:rsidR="00B85B89" w:rsidRPr="002C25D6">
              <w:rPr>
                <w:rFonts w:ascii="Arial Hebrew" w:hAnsi="Arial Hebrew" w:cs="Arial Hebrew" w:hint="cs"/>
              </w:rPr>
              <w:t xml:space="preserve"> </w:t>
            </w:r>
            <w:r w:rsidR="00B85B89" w:rsidRPr="002C25D6">
              <w:rPr>
                <w:rFonts w:ascii="Calibri" w:eastAsia="Calibri" w:hAnsi="Calibri" w:cs="Calibri"/>
              </w:rPr>
              <w:t>a</w:t>
            </w:r>
            <w:r w:rsidR="00B85B89" w:rsidRPr="002C25D6">
              <w:rPr>
                <w:rFonts w:ascii="Arial Hebrew" w:hAnsi="Arial Hebrew" w:cs="Arial Hebrew" w:hint="cs"/>
              </w:rPr>
              <w:t> </w:t>
            </w:r>
            <w:r w:rsidR="00B85B89" w:rsidRPr="002C25D6">
              <w:rPr>
                <w:rFonts w:ascii="Calibri" w:eastAsia="Calibri" w:hAnsi="Calibri" w:cs="Calibri"/>
              </w:rPr>
              <w:t>dopytom</w:t>
            </w:r>
            <w:r w:rsidR="00B85B89" w:rsidRPr="002C25D6">
              <w:rPr>
                <w:rFonts w:ascii="Arial Hebrew" w:hAnsi="Arial Hebrew" w:cs="Arial Hebrew" w:hint="cs"/>
              </w:rPr>
              <w:t xml:space="preserve"> </w:t>
            </w:r>
            <w:r w:rsidR="00B85B89" w:rsidRPr="002C25D6">
              <w:rPr>
                <w:rFonts w:ascii="Calibri" w:eastAsia="Calibri" w:hAnsi="Calibri" w:cs="Calibri"/>
              </w:rPr>
              <w:t>trhu</w:t>
            </w:r>
            <w:r w:rsidR="00B85B89" w:rsidRPr="002C25D6">
              <w:rPr>
                <w:rFonts w:ascii="Arial Hebrew" w:hAnsi="Arial Hebrew" w:cs="Arial Hebrew" w:hint="cs"/>
              </w:rPr>
              <w:t xml:space="preserve"> </w:t>
            </w:r>
            <w:r w:rsidR="00B85B89" w:rsidRPr="002C25D6">
              <w:rPr>
                <w:rFonts w:ascii="Calibri" w:eastAsia="Calibri" w:hAnsi="Calibri" w:cs="Calibri"/>
              </w:rPr>
              <w:t>práce</w:t>
            </w:r>
            <w:r w:rsidR="00B85B89" w:rsidRPr="002C25D6">
              <w:rPr>
                <w:rFonts w:ascii="Arial Hebrew" w:hAnsi="Arial Hebrew" w:cs="Arial Hebrew" w:hint="cs"/>
              </w:rPr>
              <w:t xml:space="preserve">, </w:t>
            </w:r>
            <w:r>
              <w:rPr>
                <w:rFonts w:ascii="Arial Hebrew" w:hAnsi="Arial Hebrew" w:cs="Arial Hebrew"/>
              </w:rPr>
              <w:t xml:space="preserve">ako aj </w:t>
            </w:r>
            <w:r w:rsidR="00B85B89" w:rsidRPr="002C25D6">
              <w:rPr>
                <w:rFonts w:ascii="Calibri" w:eastAsia="Calibri" w:hAnsi="Calibri" w:cs="Calibri"/>
              </w:rPr>
              <w:t>nedostatočn</w:t>
            </w:r>
            <w:r>
              <w:rPr>
                <w:rFonts w:ascii="Calibri" w:eastAsia="Calibri" w:hAnsi="Calibri" w:cs="Calibri"/>
              </w:rPr>
              <w:t>ej</w:t>
            </w:r>
            <w:r w:rsidR="00B85B89" w:rsidRPr="002C25D6">
              <w:rPr>
                <w:rFonts w:ascii="Arial Hebrew" w:hAnsi="Arial Hebrew" w:cs="Arial Hebrew" w:hint="cs"/>
              </w:rPr>
              <w:t xml:space="preserve"> </w:t>
            </w:r>
            <w:r w:rsidR="00B85B89" w:rsidRPr="002C25D6">
              <w:rPr>
                <w:rFonts w:ascii="Calibri" w:eastAsia="Calibri" w:hAnsi="Calibri" w:cs="Calibri"/>
              </w:rPr>
              <w:t>pripravenos</w:t>
            </w:r>
            <w:r>
              <w:rPr>
                <w:rFonts w:ascii="Calibri" w:eastAsia="Calibri" w:hAnsi="Calibri" w:cs="Calibri"/>
              </w:rPr>
              <w:t>ti</w:t>
            </w:r>
            <w:r w:rsidR="00B85B89" w:rsidRPr="002C25D6">
              <w:rPr>
                <w:rFonts w:ascii="Arial Hebrew" w:hAnsi="Arial Hebrew" w:cs="Arial Hebrew" w:hint="cs"/>
              </w:rPr>
              <w:t xml:space="preserve"> </w:t>
            </w:r>
            <w:r w:rsidR="00B85B89" w:rsidRPr="002C25D6">
              <w:rPr>
                <w:rFonts w:ascii="Calibri" w:eastAsia="Calibri" w:hAnsi="Calibri" w:cs="Calibri"/>
              </w:rPr>
              <w:t>pracovnej</w:t>
            </w:r>
            <w:r w:rsidR="00B85B89" w:rsidRPr="002C25D6">
              <w:rPr>
                <w:rFonts w:ascii="Arial Hebrew" w:hAnsi="Arial Hebrew" w:cs="Arial Hebrew" w:hint="cs"/>
              </w:rPr>
              <w:t xml:space="preserve"> </w:t>
            </w:r>
            <w:r w:rsidR="00B85B89" w:rsidRPr="002C25D6">
              <w:rPr>
                <w:rFonts w:ascii="Calibri" w:eastAsia="Calibri" w:hAnsi="Calibri" w:cs="Calibri"/>
              </w:rPr>
              <w:t>sily</w:t>
            </w:r>
            <w:r>
              <w:rPr>
                <w:rFonts w:ascii="Calibri" w:eastAsia="Calibri" w:hAnsi="Calibri" w:cs="Calibri"/>
              </w:rPr>
              <w:t>.</w:t>
            </w:r>
          </w:p>
          <w:p w14:paraId="66026C85" w14:textId="14E86F17" w:rsidR="00B85B89" w:rsidRPr="002C25D6" w:rsidRDefault="006E2E8C" w:rsidP="00775B20">
            <w:pPr>
              <w:pStyle w:val="Tabuka"/>
              <w:numPr>
                <w:ilvl w:val="0"/>
                <w:numId w:val="26"/>
              </w:numPr>
              <w:contextualSpacing w:val="0"/>
              <w:rPr>
                <w:rFonts w:ascii="Arial Hebrew" w:hAnsi="Arial Hebrew" w:cs="Arial Hebrew"/>
              </w:rPr>
            </w:pPr>
            <w:r>
              <w:rPr>
                <w:rFonts w:ascii="Calibri" w:eastAsia="Calibri" w:hAnsi="Calibri" w:cs="Calibri"/>
                <w:bCs/>
                <w:lang w:eastAsia="en-GB"/>
              </w:rPr>
              <w:t xml:space="preserve">Zabezpečenie </w:t>
            </w:r>
            <w:r w:rsidR="00775B20">
              <w:rPr>
                <w:rFonts w:ascii="Calibri" w:eastAsia="Calibri" w:hAnsi="Calibri" w:cs="Calibri"/>
                <w:bCs/>
                <w:lang w:eastAsia="en-GB"/>
              </w:rPr>
              <w:t>rovného</w:t>
            </w:r>
            <w:r w:rsidR="00775B20" w:rsidRPr="00775B20">
              <w:rPr>
                <w:rFonts w:ascii="Calibri" w:eastAsia="Calibri" w:hAnsi="Calibri" w:cs="Calibri"/>
                <w:bCs/>
                <w:lang w:eastAsia="en-GB"/>
              </w:rPr>
              <w:t xml:space="preserve"> prístup</w:t>
            </w:r>
            <w:r w:rsidR="00775B20">
              <w:rPr>
                <w:rFonts w:ascii="Calibri" w:eastAsia="Calibri" w:hAnsi="Calibri" w:cs="Calibri"/>
                <w:bCs/>
                <w:lang w:eastAsia="en-GB"/>
              </w:rPr>
              <w:t>u</w:t>
            </w:r>
            <w:r w:rsidR="00775B20" w:rsidRPr="00775B20">
              <w:rPr>
                <w:rFonts w:ascii="Calibri" w:eastAsia="Calibri" w:hAnsi="Calibri" w:cs="Calibri"/>
                <w:bCs/>
                <w:lang w:eastAsia="en-GB"/>
              </w:rPr>
              <w:t xml:space="preserve"> ku kvalitnému vzdelávaniu </w:t>
            </w:r>
            <w:r w:rsidR="00775B20">
              <w:rPr>
                <w:rFonts w:ascii="Calibri" w:eastAsia="Calibri" w:hAnsi="Calibri" w:cs="Calibri"/>
                <w:bCs/>
                <w:lang w:eastAsia="en-GB"/>
              </w:rPr>
              <w:t xml:space="preserve">a k </w:t>
            </w:r>
            <w:r w:rsidR="00775B20" w:rsidRPr="00775B20">
              <w:rPr>
                <w:rFonts w:ascii="Calibri" w:eastAsia="Calibri" w:hAnsi="Calibri" w:cs="Calibri"/>
                <w:bCs/>
                <w:lang w:eastAsia="en-GB"/>
              </w:rPr>
              <w:t>celoživotnému vzdelávaniu pre všetkých</w:t>
            </w:r>
            <w:r>
              <w:rPr>
                <w:rFonts w:ascii="Calibri" w:eastAsia="Calibri" w:hAnsi="Calibri" w:cs="Calibri"/>
                <w:bCs/>
                <w:lang w:eastAsia="en-GB"/>
              </w:rPr>
              <w:t>.</w:t>
            </w:r>
          </w:p>
          <w:p w14:paraId="060A0642" w14:textId="338EFE58" w:rsidR="00B85B89" w:rsidRPr="002C25D6" w:rsidRDefault="006E2E8C" w:rsidP="006E2E8C">
            <w:pPr>
              <w:pStyle w:val="Tabuka"/>
              <w:numPr>
                <w:ilvl w:val="0"/>
                <w:numId w:val="26"/>
              </w:numPr>
              <w:contextualSpacing w:val="0"/>
              <w:rPr>
                <w:rFonts w:ascii="Arial Hebrew" w:hAnsi="Arial Hebrew" w:cs="Arial Hebrew"/>
              </w:rPr>
            </w:pPr>
            <w:r>
              <w:rPr>
                <w:rFonts w:ascii="Calibri" w:eastAsia="Calibri" w:hAnsi="Calibri" w:cs="Calibri"/>
              </w:rPr>
              <w:t>Zabránenie o</w:t>
            </w:r>
            <w:r w:rsidR="00B85B89" w:rsidRPr="002C25D6">
              <w:rPr>
                <w:rFonts w:ascii="Calibri" w:eastAsia="Calibri" w:hAnsi="Calibri" w:cs="Calibri"/>
              </w:rPr>
              <w:t>dliv</w:t>
            </w:r>
            <w:r>
              <w:rPr>
                <w:rFonts w:ascii="Calibri" w:eastAsia="Calibri" w:hAnsi="Calibri" w:cs="Calibri"/>
              </w:rPr>
              <w:t>u</w:t>
            </w:r>
            <w:r w:rsidR="00B85B89" w:rsidRPr="002C25D6">
              <w:rPr>
                <w:rFonts w:ascii="Arial Hebrew" w:hAnsi="Arial Hebrew" w:cs="Arial Hebrew" w:hint="cs"/>
              </w:rPr>
              <w:t xml:space="preserve"> </w:t>
            </w:r>
            <w:r w:rsidR="00B85B89" w:rsidRPr="002C25D6">
              <w:rPr>
                <w:rFonts w:ascii="Calibri" w:eastAsia="Calibri" w:hAnsi="Calibri" w:cs="Calibri"/>
              </w:rPr>
              <w:t>mozgov</w:t>
            </w:r>
            <w:r>
              <w:rPr>
                <w:rFonts w:ascii="Calibri" w:eastAsia="Calibri" w:hAnsi="Calibri" w:cs="Calibri"/>
              </w:rPr>
              <w:t>.</w:t>
            </w:r>
          </w:p>
        </w:tc>
      </w:tr>
      <w:tr w:rsidR="00B85B89" w:rsidRPr="002C25D6" w14:paraId="39DD50E3" w14:textId="77777777" w:rsidTr="002C25D6">
        <w:tc>
          <w:tcPr>
            <w:tcW w:w="1677" w:type="dxa"/>
            <w:tcMar>
              <w:left w:w="28" w:type="dxa"/>
              <w:right w:w="28" w:type="dxa"/>
            </w:tcMar>
            <w:vAlign w:val="center"/>
          </w:tcPr>
          <w:p w14:paraId="6A4EED37" w14:textId="2023AF11" w:rsidR="00B85B89" w:rsidRPr="002C25D6" w:rsidRDefault="00D42286" w:rsidP="002C25D6">
            <w:pPr>
              <w:pStyle w:val="Tabuka"/>
              <w:contextualSpacing w:val="0"/>
              <w:rPr>
                <w:rFonts w:ascii="Arial Hebrew" w:eastAsiaTheme="majorEastAsia" w:hAnsi="Arial Hebrew" w:cs="Arial Hebrew"/>
                <w:b/>
                <w:bCs/>
              </w:rPr>
            </w:pPr>
            <w:r>
              <w:rPr>
                <w:rFonts w:ascii="Calibri" w:eastAsia="Calibri" w:hAnsi="Calibri" w:cs="Calibri"/>
                <w:b/>
              </w:rPr>
              <w:t>Dobré z</w:t>
            </w:r>
            <w:r w:rsidR="00B85B89" w:rsidRPr="002C25D6">
              <w:rPr>
                <w:rFonts w:ascii="Calibri" w:eastAsia="Calibri" w:hAnsi="Calibri" w:cs="Calibri"/>
                <w:b/>
              </w:rPr>
              <w:t>dravie</w:t>
            </w:r>
            <w:r w:rsidR="00B85B89" w:rsidRPr="002C25D6">
              <w:rPr>
                <w:rFonts w:ascii="Arial Hebrew" w:hAnsi="Arial Hebrew" w:cs="Arial Hebrew" w:hint="cs"/>
                <w:b/>
              </w:rPr>
              <w:t xml:space="preserve"> </w:t>
            </w:r>
            <w:r w:rsidR="00B85B89" w:rsidRPr="002C25D6">
              <w:rPr>
                <w:rFonts w:ascii="Calibri" w:eastAsia="Calibri" w:hAnsi="Calibri" w:cs="Calibri"/>
                <w:b/>
              </w:rPr>
              <w:t>a</w:t>
            </w:r>
            <w:r w:rsidR="00B85B89" w:rsidRPr="002C25D6">
              <w:rPr>
                <w:rFonts w:ascii="Arial Hebrew" w:hAnsi="Arial Hebrew" w:cs="Arial Hebrew" w:hint="cs"/>
                <w:b/>
              </w:rPr>
              <w:t> </w:t>
            </w:r>
            <w:r w:rsidR="00B85B89" w:rsidRPr="002C25D6">
              <w:rPr>
                <w:rFonts w:ascii="Calibri" w:eastAsia="Calibri" w:hAnsi="Calibri" w:cs="Calibri"/>
                <w:b/>
              </w:rPr>
              <w:t>kvalita</w:t>
            </w:r>
            <w:r w:rsidR="00B85B89" w:rsidRPr="002C25D6">
              <w:rPr>
                <w:rFonts w:ascii="Arial Hebrew" w:hAnsi="Arial Hebrew" w:cs="Arial Hebrew" w:hint="cs"/>
                <w:b/>
              </w:rPr>
              <w:t xml:space="preserve"> </w:t>
            </w:r>
            <w:r w:rsidR="00B85B89" w:rsidRPr="002C25D6">
              <w:rPr>
                <w:rFonts w:ascii="Calibri" w:eastAsia="Calibri" w:hAnsi="Calibri" w:cs="Calibri"/>
                <w:b/>
              </w:rPr>
              <w:t>života</w:t>
            </w:r>
            <w:r w:rsidR="00B85B89" w:rsidRPr="002C25D6">
              <w:rPr>
                <w:rFonts w:ascii="Arial Hebrew" w:hAnsi="Arial Hebrew" w:cs="Arial Hebrew" w:hint="cs"/>
                <w:b/>
              </w:rPr>
              <w:tab/>
            </w:r>
          </w:p>
        </w:tc>
        <w:tc>
          <w:tcPr>
            <w:tcW w:w="1701" w:type="dxa"/>
            <w:tcMar>
              <w:left w:w="28" w:type="dxa"/>
              <w:right w:w="28" w:type="dxa"/>
            </w:tcMar>
            <w:vAlign w:val="center"/>
          </w:tcPr>
          <w:p w14:paraId="70EF560E" w14:textId="79A17131" w:rsidR="00B85B89" w:rsidRPr="002C25D6" w:rsidRDefault="00874D26" w:rsidP="002C25D6">
            <w:pPr>
              <w:pStyle w:val="Tabuka"/>
              <w:contextualSpacing w:val="0"/>
              <w:jc w:val="center"/>
              <w:rPr>
                <w:rFonts w:ascii="Arial Hebrew" w:hAnsi="Arial Hebrew" w:cs="Arial Hebrew"/>
                <w:noProof/>
              </w:rPr>
            </w:pPr>
            <w:r w:rsidRPr="002C25D6">
              <w:rPr>
                <w:rFonts w:ascii="Arial Hebrew" w:eastAsia="Times New Roman" w:hAnsi="Arial Hebrew" w:cs="Arial Hebrew" w:hint="cs"/>
                <w:noProof/>
                <w:color w:val="333333"/>
                <w:lang w:val="cs-CZ" w:eastAsia="cs-CZ"/>
              </w:rPr>
              <w:drawing>
                <wp:inline distT="0" distB="0" distL="0" distR="0" wp14:anchorId="41806C1F" wp14:editId="7C78A25E">
                  <wp:extent cx="376747" cy="376747"/>
                  <wp:effectExtent l="0" t="0" r="4445" b="4445"/>
                  <wp:docPr id="49" name="obrázek 40" descr="http://www.unis.unvienna.org/images/2016/SDGicons/sdg2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nis.unvienna.org/images/2016/SDGicons/sdg2_sk.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9681" cy="379681"/>
                          </a:xfrm>
                          <a:prstGeom prst="rect">
                            <a:avLst/>
                          </a:prstGeom>
                          <a:noFill/>
                          <a:ln>
                            <a:noFill/>
                          </a:ln>
                        </pic:spPr>
                      </pic:pic>
                    </a:graphicData>
                  </a:graphic>
                </wp:inline>
              </w:drawing>
            </w:r>
            <w:r w:rsidR="00294E62" w:rsidRPr="002C25D6">
              <w:rPr>
                <w:rFonts w:ascii="Arial Hebrew" w:hAnsi="Arial Hebrew" w:cs="Arial Hebrew" w:hint="cs"/>
                <w:noProof/>
              </w:rPr>
              <w:t xml:space="preserve"> </w:t>
            </w:r>
            <w:r w:rsidR="00B85B89" w:rsidRPr="002C25D6">
              <w:rPr>
                <w:rFonts w:ascii="Arial Hebrew" w:hAnsi="Arial Hebrew" w:cs="Arial Hebrew" w:hint="cs"/>
                <w:noProof/>
                <w:lang w:val="cs-CZ" w:eastAsia="cs-CZ"/>
              </w:rPr>
              <w:drawing>
                <wp:inline distT="0" distB="0" distL="0" distR="0" wp14:anchorId="3623403E" wp14:editId="609BCB8E">
                  <wp:extent cx="374233" cy="374233"/>
                  <wp:effectExtent l="0" t="0" r="6985" b="6985"/>
                  <wp:docPr id="37" name="Obrázok 10" descr="Image result for 17 SDG c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17 SDG cie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79567" cy="379567"/>
                          </a:xfrm>
                          <a:prstGeom prst="rect">
                            <a:avLst/>
                          </a:prstGeom>
                          <a:noFill/>
                          <a:ln>
                            <a:noFill/>
                          </a:ln>
                        </pic:spPr>
                      </pic:pic>
                    </a:graphicData>
                  </a:graphic>
                </wp:inline>
              </w:drawing>
            </w:r>
            <w:r w:rsidR="00B85B89" w:rsidRPr="002C25D6">
              <w:rPr>
                <w:rFonts w:ascii="Arial Hebrew" w:hAnsi="Arial Hebrew" w:cs="Arial Hebrew" w:hint="cs"/>
                <w:noProof/>
              </w:rPr>
              <w:t xml:space="preserve"> </w:t>
            </w:r>
          </w:p>
          <w:p w14:paraId="28C559B0" w14:textId="26B571E3" w:rsidR="00B85B89" w:rsidRPr="002C25D6" w:rsidRDefault="009D4E9C" w:rsidP="002C25D6">
            <w:pPr>
              <w:pStyle w:val="Tabuka"/>
              <w:contextualSpacing w:val="0"/>
              <w:jc w:val="center"/>
              <w:rPr>
                <w:rFonts w:ascii="Arial Hebrew" w:hAnsi="Arial Hebrew" w:cs="Arial Hebrew"/>
              </w:rPr>
            </w:pPr>
            <w:r w:rsidRPr="007564DC">
              <w:rPr>
                <w:noProof/>
                <w:lang w:val="cs-CZ" w:eastAsia="cs-CZ"/>
              </w:rPr>
              <w:drawing>
                <wp:inline distT="0" distB="0" distL="0" distR="0" wp14:anchorId="19DED188" wp14:editId="7121A951">
                  <wp:extent cx="400594" cy="400594"/>
                  <wp:effectExtent l="0" t="0" r="0" b="0"/>
                  <wp:docPr id="21" name="Obrázok 19" descr="C:\Users\Vlado\Documents\SDG 6 Čistá voda a hygi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lado\Documents\SDG 6 Čistá voda a hygiena.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4058" cy="404058"/>
                          </a:xfrm>
                          <a:prstGeom prst="rect">
                            <a:avLst/>
                          </a:prstGeom>
                          <a:noFill/>
                          <a:ln>
                            <a:noFill/>
                          </a:ln>
                        </pic:spPr>
                      </pic:pic>
                    </a:graphicData>
                  </a:graphic>
                </wp:inline>
              </w:drawing>
            </w:r>
            <w:bookmarkStart w:id="2" w:name="_GoBack"/>
            <w:bookmarkEnd w:id="2"/>
          </w:p>
        </w:tc>
        <w:tc>
          <w:tcPr>
            <w:tcW w:w="11081" w:type="dxa"/>
            <w:tcMar>
              <w:left w:w="28" w:type="dxa"/>
              <w:right w:w="28" w:type="dxa"/>
            </w:tcMar>
            <w:vAlign w:val="center"/>
          </w:tcPr>
          <w:p w14:paraId="331B771A" w14:textId="10A4DA25" w:rsidR="00D42286" w:rsidRPr="00D42286" w:rsidRDefault="00D42286" w:rsidP="00D42286">
            <w:pPr>
              <w:pStyle w:val="Tabuka"/>
              <w:numPr>
                <w:ilvl w:val="0"/>
                <w:numId w:val="27"/>
              </w:numPr>
              <w:contextualSpacing w:val="0"/>
              <w:rPr>
                <w:rFonts w:ascii="Calibri" w:eastAsia="Calibri" w:hAnsi="Calibri" w:cs="Calibri"/>
              </w:rPr>
            </w:pPr>
            <w:r w:rsidRPr="00D42286">
              <w:rPr>
                <w:rFonts w:ascii="Calibri" w:eastAsia="Calibri" w:hAnsi="Calibri" w:cs="Calibri"/>
              </w:rPr>
              <w:t xml:space="preserve">Zabezpečenie zdravého života a podpora blahobytu pre všetkých vo všetkých vekových kategóriách zlepšením zdravotného stavu obyvateľstva podporou, ochranou verejného zdravia a prevenciou ochorení zabezpečením univerzálneho prístupu ku kvalitnej zdravotnej starostlivosti. </w:t>
            </w:r>
          </w:p>
          <w:p w14:paraId="3FB4E59B" w14:textId="5008018A" w:rsidR="00D42286" w:rsidRPr="00D42286" w:rsidRDefault="00D42286" w:rsidP="00D42286">
            <w:pPr>
              <w:pStyle w:val="Tabuka"/>
              <w:numPr>
                <w:ilvl w:val="0"/>
                <w:numId w:val="27"/>
              </w:numPr>
              <w:contextualSpacing w:val="0"/>
              <w:rPr>
                <w:rFonts w:ascii="Calibri" w:eastAsia="Calibri" w:hAnsi="Calibri" w:cs="Calibri"/>
              </w:rPr>
            </w:pPr>
            <w:r w:rsidRPr="00D42286">
              <w:rPr>
                <w:rFonts w:ascii="Calibri" w:eastAsia="Calibri" w:hAnsi="Calibri" w:cs="Calibri"/>
              </w:rPr>
              <w:t>Kvalitné životné prostredie, potravinová bezpečnosť, udržateľné a ekologické poľnohospodárstvo a lesné hospodárstvo, dostatočná a kvalitná výživa obyvateľstva ako faktor zdravia a zároveň ekonomická príležitosť</w:t>
            </w:r>
            <w:r>
              <w:rPr>
                <w:rFonts w:ascii="Calibri" w:eastAsia="Calibri" w:hAnsi="Calibri" w:cs="Calibri"/>
              </w:rPr>
              <w:t>.</w:t>
            </w:r>
          </w:p>
          <w:p w14:paraId="25369420" w14:textId="147F40DD" w:rsidR="00B85B89" w:rsidRPr="002C25D6" w:rsidRDefault="00D42286" w:rsidP="00D42286">
            <w:pPr>
              <w:pStyle w:val="Tabuka"/>
              <w:numPr>
                <w:ilvl w:val="0"/>
                <w:numId w:val="27"/>
              </w:numPr>
              <w:contextualSpacing w:val="0"/>
              <w:rPr>
                <w:rFonts w:ascii="Arial Hebrew" w:hAnsi="Arial Hebrew" w:cs="Arial Hebrew"/>
              </w:rPr>
            </w:pPr>
            <w:r w:rsidRPr="00D42286">
              <w:rPr>
                <w:rFonts w:ascii="Calibri" w:eastAsia="Calibri" w:hAnsi="Calibri" w:cs="Calibri"/>
              </w:rPr>
              <w:t>Bezpečnosť obyvateľov pred vonkajšími a vnútornými rizikami a ochrana kľúčovej kritickej in</w:t>
            </w:r>
            <w:r>
              <w:rPr>
                <w:rFonts w:ascii="Calibri" w:eastAsia="Calibri" w:hAnsi="Calibri" w:cs="Calibri"/>
              </w:rPr>
              <w:t>fraštruktúry v sektore zdravia.</w:t>
            </w:r>
          </w:p>
        </w:tc>
      </w:tr>
      <w:tr w:rsidR="00B85B89" w:rsidRPr="002C25D6" w14:paraId="7F91E4B4" w14:textId="77777777" w:rsidTr="002C25D6">
        <w:tc>
          <w:tcPr>
            <w:tcW w:w="1677" w:type="dxa"/>
            <w:tcMar>
              <w:left w:w="28" w:type="dxa"/>
              <w:right w:w="28" w:type="dxa"/>
            </w:tcMar>
            <w:vAlign w:val="center"/>
          </w:tcPr>
          <w:p w14:paraId="7A74F651" w14:textId="5B366CEB" w:rsidR="00B85B89" w:rsidRPr="002C25D6" w:rsidRDefault="00B85B89" w:rsidP="002C25D6">
            <w:pPr>
              <w:pStyle w:val="Tabuka"/>
              <w:contextualSpacing w:val="0"/>
              <w:rPr>
                <w:rFonts w:ascii="Arial Hebrew" w:eastAsiaTheme="majorEastAsia" w:hAnsi="Arial Hebrew" w:cs="Arial Hebrew"/>
                <w:b/>
                <w:bCs/>
              </w:rPr>
            </w:pPr>
            <w:r w:rsidRPr="002C25D6">
              <w:rPr>
                <w:rFonts w:ascii="Calibri" w:eastAsia="Calibri" w:hAnsi="Calibri" w:cs="Calibri"/>
                <w:b/>
              </w:rPr>
              <w:t>Udržateľné</w:t>
            </w:r>
            <w:r w:rsidRPr="002C25D6">
              <w:rPr>
                <w:rFonts w:ascii="Arial Hebrew" w:hAnsi="Arial Hebrew" w:cs="Arial Hebrew" w:hint="cs"/>
                <w:b/>
              </w:rPr>
              <w:t xml:space="preserve"> </w:t>
            </w:r>
            <w:r w:rsidRPr="002C25D6">
              <w:rPr>
                <w:rFonts w:ascii="Calibri" w:eastAsia="Calibri" w:hAnsi="Calibri" w:cs="Calibri"/>
                <w:b/>
              </w:rPr>
              <w:t>sídla</w:t>
            </w:r>
            <w:r w:rsidRPr="002C25D6">
              <w:rPr>
                <w:rFonts w:ascii="Arial Hebrew" w:hAnsi="Arial Hebrew" w:cs="Arial Hebrew" w:hint="cs"/>
                <w:b/>
              </w:rPr>
              <w:t xml:space="preserve"> </w:t>
            </w:r>
            <w:r w:rsidRPr="002C25D6">
              <w:rPr>
                <w:rFonts w:ascii="Calibri" w:eastAsia="Calibri" w:hAnsi="Calibri" w:cs="Calibri"/>
                <w:b/>
              </w:rPr>
              <w:t>a</w:t>
            </w:r>
            <w:r w:rsidRPr="002C25D6">
              <w:rPr>
                <w:rFonts w:ascii="Arial Hebrew" w:hAnsi="Arial Hebrew" w:cs="Arial Hebrew" w:hint="cs"/>
                <w:b/>
              </w:rPr>
              <w:t> </w:t>
            </w:r>
            <w:r w:rsidRPr="002C25D6">
              <w:rPr>
                <w:rFonts w:ascii="Calibri" w:eastAsia="Calibri" w:hAnsi="Calibri" w:cs="Calibri"/>
                <w:b/>
              </w:rPr>
              <w:t>krajina</w:t>
            </w:r>
            <w:r w:rsidRPr="002C25D6">
              <w:rPr>
                <w:rFonts w:ascii="Arial Hebrew" w:hAnsi="Arial Hebrew" w:cs="Arial Hebrew" w:hint="cs"/>
                <w:b/>
              </w:rPr>
              <w:t xml:space="preserve"> </w:t>
            </w:r>
            <w:r w:rsidRPr="002C25D6">
              <w:rPr>
                <w:rFonts w:ascii="Calibri" w:eastAsia="Calibri" w:hAnsi="Calibri" w:cs="Calibri"/>
                <w:b/>
              </w:rPr>
              <w:t>v</w:t>
            </w:r>
            <w:r w:rsidRPr="002C25D6">
              <w:rPr>
                <w:rFonts w:ascii="Arial Hebrew" w:hAnsi="Arial Hebrew" w:cs="Arial Hebrew" w:hint="cs"/>
                <w:b/>
              </w:rPr>
              <w:t> </w:t>
            </w:r>
            <w:r w:rsidR="00874D26" w:rsidRPr="002C25D6">
              <w:rPr>
                <w:rFonts w:ascii="Calibri" w:eastAsia="Calibri" w:hAnsi="Calibri" w:cs="Calibri"/>
                <w:b/>
              </w:rPr>
              <w:t>kontexte</w:t>
            </w:r>
            <w:r w:rsidRPr="002C25D6">
              <w:rPr>
                <w:rFonts w:ascii="Arial Hebrew" w:hAnsi="Arial Hebrew" w:cs="Arial Hebrew" w:hint="cs"/>
                <w:b/>
              </w:rPr>
              <w:t xml:space="preserve"> </w:t>
            </w:r>
            <w:r w:rsidR="00874D26" w:rsidRPr="002C25D6">
              <w:rPr>
                <w:rFonts w:ascii="Calibri" w:eastAsia="Calibri" w:hAnsi="Calibri" w:cs="Calibri"/>
                <w:b/>
              </w:rPr>
              <w:t>zmeny</w:t>
            </w:r>
            <w:r w:rsidRPr="002C25D6">
              <w:rPr>
                <w:rFonts w:ascii="Arial Hebrew" w:hAnsi="Arial Hebrew" w:cs="Arial Hebrew" w:hint="cs"/>
                <w:b/>
              </w:rPr>
              <w:t xml:space="preserve"> </w:t>
            </w:r>
            <w:r w:rsidRPr="002C25D6">
              <w:rPr>
                <w:rFonts w:ascii="Calibri" w:eastAsia="Calibri" w:hAnsi="Calibri" w:cs="Calibri"/>
                <w:b/>
              </w:rPr>
              <w:t>klímy</w:t>
            </w:r>
          </w:p>
        </w:tc>
        <w:tc>
          <w:tcPr>
            <w:tcW w:w="1701" w:type="dxa"/>
            <w:tcMar>
              <w:left w:w="28" w:type="dxa"/>
              <w:right w:w="28" w:type="dxa"/>
            </w:tcMar>
            <w:vAlign w:val="center"/>
          </w:tcPr>
          <w:p w14:paraId="0584C2DF" w14:textId="20756AA8" w:rsidR="00294E62" w:rsidRPr="002C25D6" w:rsidRDefault="00294E62" w:rsidP="002C25D6">
            <w:pPr>
              <w:pStyle w:val="Tabuka"/>
              <w:contextualSpacing w:val="0"/>
              <w:jc w:val="center"/>
              <w:rPr>
                <w:rFonts w:ascii="Arial Hebrew" w:hAnsi="Arial Hebrew" w:cs="Arial Hebrew"/>
                <w:noProof/>
                <w:lang w:val="cs-CZ" w:eastAsia="cs-CZ"/>
              </w:rPr>
            </w:pPr>
            <w:r w:rsidRPr="002C25D6">
              <w:rPr>
                <w:rFonts w:ascii="Arial Hebrew" w:hAnsi="Arial Hebrew" w:cs="Arial Hebrew" w:hint="cs"/>
                <w:noProof/>
                <w:lang w:val="cs-CZ" w:eastAsia="cs-CZ"/>
              </w:rPr>
              <w:t xml:space="preserve"> </w:t>
            </w:r>
          </w:p>
          <w:p w14:paraId="1363E212" w14:textId="77777777" w:rsidR="00A56081" w:rsidRPr="002C25D6" w:rsidRDefault="00874D26" w:rsidP="002C25D6">
            <w:pPr>
              <w:jc w:val="center"/>
              <w:rPr>
                <w:rFonts w:ascii="Arial Hebrew" w:hAnsi="Arial Hebrew" w:cs="Arial Hebrew"/>
                <w:noProof/>
                <w:sz w:val="20"/>
                <w:szCs w:val="20"/>
                <w:lang w:eastAsia="sk-SK"/>
              </w:rPr>
            </w:pPr>
            <w:r w:rsidRPr="002C25D6">
              <w:rPr>
                <w:rFonts w:ascii="Arial Hebrew" w:hAnsi="Arial Hebrew" w:cs="Arial Hebrew" w:hint="cs"/>
                <w:noProof/>
                <w:color w:val="333333"/>
                <w:sz w:val="20"/>
                <w:szCs w:val="20"/>
                <w:lang w:val="cs-CZ" w:eastAsia="cs-CZ"/>
              </w:rPr>
              <w:drawing>
                <wp:inline distT="0" distB="0" distL="0" distR="0" wp14:anchorId="04112972" wp14:editId="5B25DB67">
                  <wp:extent cx="351130" cy="351130"/>
                  <wp:effectExtent l="0" t="0" r="0" b="0"/>
                  <wp:docPr id="54" name="obrázek 45" descr="http://www.unis.unvienna.org/images/2016/SDGicons/sdg7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nis.unvienna.org/images/2016/SDGicons/sdg7_sk.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4859" cy="354859"/>
                          </a:xfrm>
                          <a:prstGeom prst="rect">
                            <a:avLst/>
                          </a:prstGeom>
                          <a:noFill/>
                          <a:ln>
                            <a:noFill/>
                          </a:ln>
                        </pic:spPr>
                      </pic:pic>
                    </a:graphicData>
                  </a:graphic>
                </wp:inline>
              </w:drawing>
            </w:r>
            <w:r w:rsidRPr="002C25D6">
              <w:rPr>
                <w:rFonts w:ascii="Arial Hebrew" w:hAnsi="Arial Hebrew" w:cs="Arial Hebrew" w:hint="cs"/>
                <w:noProof/>
                <w:sz w:val="20"/>
                <w:szCs w:val="20"/>
                <w:lang w:eastAsia="sk-SK"/>
              </w:rPr>
              <w:t xml:space="preserve"> </w:t>
            </w:r>
            <w:r w:rsidRPr="002C25D6">
              <w:rPr>
                <w:rFonts w:ascii="Arial Hebrew" w:hAnsi="Arial Hebrew" w:cs="Arial Hebrew" w:hint="cs"/>
                <w:noProof/>
                <w:color w:val="333333"/>
                <w:sz w:val="20"/>
                <w:szCs w:val="20"/>
                <w:lang w:val="cs-CZ" w:eastAsia="cs-CZ"/>
              </w:rPr>
              <w:drawing>
                <wp:inline distT="0" distB="0" distL="0" distR="0" wp14:anchorId="53FEBA8B" wp14:editId="71C5FFCB">
                  <wp:extent cx="346431" cy="346431"/>
                  <wp:effectExtent l="0" t="0" r="0" b="0"/>
                  <wp:docPr id="55" name="obrázek 49" descr="http://www.unis.unvienna.org/images/2016/SDGicons/sdg11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nis.unvienna.org/images/2016/SDGicons/sdg11_sk.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2026" cy="362026"/>
                          </a:xfrm>
                          <a:prstGeom prst="rect">
                            <a:avLst/>
                          </a:prstGeom>
                          <a:noFill/>
                          <a:ln>
                            <a:noFill/>
                          </a:ln>
                        </pic:spPr>
                      </pic:pic>
                    </a:graphicData>
                  </a:graphic>
                </wp:inline>
              </w:drawing>
            </w:r>
            <w:r w:rsidRPr="002C25D6">
              <w:rPr>
                <w:rFonts w:ascii="Arial Hebrew" w:hAnsi="Arial Hebrew" w:cs="Arial Hebrew" w:hint="cs"/>
                <w:noProof/>
                <w:sz w:val="20"/>
                <w:szCs w:val="20"/>
                <w:lang w:eastAsia="sk-SK"/>
              </w:rPr>
              <w:t xml:space="preserve"> </w:t>
            </w:r>
          </w:p>
          <w:p w14:paraId="3BAA01BB" w14:textId="49C72F95" w:rsidR="00874D26" w:rsidRPr="002C25D6" w:rsidRDefault="00874D26" w:rsidP="002C25D6">
            <w:pPr>
              <w:jc w:val="center"/>
              <w:rPr>
                <w:rFonts w:ascii="Arial Hebrew" w:hAnsi="Arial Hebrew" w:cs="Arial Hebrew"/>
                <w:noProof/>
                <w:sz w:val="20"/>
                <w:szCs w:val="20"/>
                <w:lang w:eastAsia="sk-SK"/>
              </w:rPr>
            </w:pPr>
            <w:r w:rsidRPr="002C25D6">
              <w:rPr>
                <w:rFonts w:ascii="Arial Hebrew" w:hAnsi="Arial Hebrew" w:cs="Arial Hebrew" w:hint="cs"/>
                <w:noProof/>
                <w:sz w:val="20"/>
                <w:szCs w:val="20"/>
                <w:lang w:val="cs-CZ" w:eastAsia="cs-CZ"/>
              </w:rPr>
              <w:drawing>
                <wp:inline distT="0" distB="0" distL="0" distR="0" wp14:anchorId="3F818925" wp14:editId="09A57C39">
                  <wp:extent cx="358445" cy="358445"/>
                  <wp:effectExtent l="0" t="0" r="3810" b="3810"/>
                  <wp:docPr id="56" name="Obrázok 22" descr="Image result for ochrana klímy sd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ochrana klímy sdg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1274" cy="371274"/>
                          </a:xfrm>
                          <a:prstGeom prst="rect">
                            <a:avLst/>
                          </a:prstGeom>
                          <a:noFill/>
                          <a:ln>
                            <a:noFill/>
                          </a:ln>
                        </pic:spPr>
                      </pic:pic>
                    </a:graphicData>
                  </a:graphic>
                </wp:inline>
              </w:drawing>
            </w:r>
            <w:r w:rsidR="00A56081" w:rsidRPr="002C25D6">
              <w:rPr>
                <w:rFonts w:ascii="Arial Hebrew" w:hAnsi="Arial Hebrew" w:cs="Arial Hebrew" w:hint="cs"/>
                <w:noProof/>
                <w:sz w:val="20"/>
                <w:szCs w:val="20"/>
                <w:lang w:eastAsia="sk-SK"/>
              </w:rPr>
              <w:t xml:space="preserve"> </w:t>
            </w:r>
            <w:r w:rsidR="00A56081" w:rsidRPr="002C25D6">
              <w:rPr>
                <w:rFonts w:ascii="Arial Hebrew" w:hAnsi="Arial Hebrew" w:cs="Arial Hebrew" w:hint="cs"/>
                <w:noProof/>
                <w:color w:val="333333"/>
                <w:sz w:val="20"/>
                <w:szCs w:val="20"/>
                <w:lang w:val="cs-CZ" w:eastAsia="cs-CZ"/>
              </w:rPr>
              <w:drawing>
                <wp:inline distT="0" distB="0" distL="0" distR="0" wp14:anchorId="7A44ABAE" wp14:editId="035BF32F">
                  <wp:extent cx="353415" cy="353415"/>
                  <wp:effectExtent l="0" t="0" r="8890" b="8890"/>
                  <wp:docPr id="58" name="obrázek 53" descr="http://www.unis.unvienna.org/images/2016/SDGicons/sdg15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unis.unvienna.org/images/2016/SDGicons/sdg15_sk.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1192" cy="361192"/>
                          </a:xfrm>
                          <a:prstGeom prst="rect">
                            <a:avLst/>
                          </a:prstGeom>
                          <a:noFill/>
                          <a:ln>
                            <a:noFill/>
                          </a:ln>
                        </pic:spPr>
                      </pic:pic>
                    </a:graphicData>
                  </a:graphic>
                </wp:inline>
              </w:drawing>
            </w:r>
            <w:r w:rsidRPr="002C25D6">
              <w:rPr>
                <w:rFonts w:ascii="Arial Hebrew" w:hAnsi="Arial Hebrew" w:cs="Arial Hebrew" w:hint="cs"/>
                <w:noProof/>
                <w:sz w:val="20"/>
                <w:szCs w:val="20"/>
                <w:lang w:eastAsia="sk-SK"/>
              </w:rPr>
              <w:t xml:space="preserve"> </w:t>
            </w:r>
          </w:p>
          <w:p w14:paraId="3933807E" w14:textId="0495BFAB" w:rsidR="00B85B89" w:rsidRPr="002C25D6" w:rsidRDefault="00B85B89" w:rsidP="002C25D6">
            <w:pPr>
              <w:pStyle w:val="Tabuka"/>
              <w:contextualSpacing w:val="0"/>
              <w:rPr>
                <w:rFonts w:ascii="Arial Hebrew" w:hAnsi="Arial Hebrew" w:cs="Arial Hebrew"/>
              </w:rPr>
            </w:pPr>
          </w:p>
        </w:tc>
        <w:tc>
          <w:tcPr>
            <w:tcW w:w="11081" w:type="dxa"/>
            <w:tcMar>
              <w:left w:w="28" w:type="dxa"/>
              <w:right w:w="28" w:type="dxa"/>
            </w:tcMar>
            <w:vAlign w:val="center"/>
          </w:tcPr>
          <w:p w14:paraId="07D538C5" w14:textId="2C6342A7" w:rsidR="00B85B89" w:rsidRPr="002C25D6" w:rsidRDefault="00B85B89" w:rsidP="002C25D6">
            <w:pPr>
              <w:pStyle w:val="Tabuka"/>
              <w:numPr>
                <w:ilvl w:val="0"/>
                <w:numId w:val="27"/>
              </w:numPr>
              <w:contextualSpacing w:val="0"/>
              <w:rPr>
                <w:rFonts w:ascii="Arial Hebrew" w:hAnsi="Arial Hebrew" w:cs="Arial Hebrew"/>
              </w:rPr>
            </w:pPr>
            <w:r w:rsidRPr="002C25D6">
              <w:rPr>
                <w:rFonts w:ascii="Calibri" w:eastAsia="Calibri" w:hAnsi="Calibri" w:cs="Calibri"/>
              </w:rPr>
              <w:t>Riešenie</w:t>
            </w:r>
            <w:r w:rsidRPr="002C25D6">
              <w:rPr>
                <w:rFonts w:ascii="Arial Hebrew" w:hAnsi="Arial Hebrew" w:cs="Arial Hebrew" w:hint="cs"/>
              </w:rPr>
              <w:t xml:space="preserve"> </w:t>
            </w:r>
            <w:r w:rsidRPr="002C25D6">
              <w:rPr>
                <w:rFonts w:ascii="Calibri" w:eastAsia="Calibri" w:hAnsi="Calibri" w:cs="Calibri"/>
              </w:rPr>
              <w:t>problému</w:t>
            </w:r>
            <w:r w:rsidRPr="002C25D6">
              <w:rPr>
                <w:rFonts w:ascii="Arial Hebrew" w:hAnsi="Arial Hebrew" w:cs="Arial Hebrew" w:hint="cs"/>
              </w:rPr>
              <w:t xml:space="preserve"> </w:t>
            </w:r>
            <w:r w:rsidRPr="002C25D6">
              <w:rPr>
                <w:rFonts w:ascii="Calibri" w:eastAsia="Calibri" w:hAnsi="Calibri" w:cs="Calibri"/>
              </w:rPr>
              <w:t>zmeny</w:t>
            </w:r>
            <w:r w:rsidRPr="002C25D6">
              <w:rPr>
                <w:rFonts w:ascii="Arial Hebrew" w:hAnsi="Arial Hebrew" w:cs="Arial Hebrew" w:hint="cs"/>
              </w:rPr>
              <w:t xml:space="preserve"> </w:t>
            </w:r>
            <w:r w:rsidRPr="002C25D6">
              <w:rPr>
                <w:rFonts w:ascii="Calibri" w:eastAsia="Calibri" w:hAnsi="Calibri" w:cs="Calibri"/>
              </w:rPr>
              <w:t>klímy</w:t>
            </w:r>
            <w:r w:rsidRPr="002C25D6">
              <w:rPr>
                <w:rFonts w:ascii="Arial Hebrew" w:hAnsi="Arial Hebrew" w:cs="Arial Hebrew" w:hint="cs"/>
              </w:rPr>
              <w:t xml:space="preserve"> </w:t>
            </w:r>
            <w:r w:rsidRPr="002C25D6">
              <w:rPr>
                <w:rFonts w:ascii="Calibri" w:eastAsia="Calibri" w:hAnsi="Calibri" w:cs="Calibri"/>
              </w:rPr>
              <w:t>cestou</w:t>
            </w:r>
            <w:r w:rsidRPr="002C25D6">
              <w:rPr>
                <w:rFonts w:ascii="Arial Hebrew" w:hAnsi="Arial Hebrew" w:cs="Arial Hebrew" w:hint="cs"/>
              </w:rPr>
              <w:t xml:space="preserve"> </w:t>
            </w:r>
            <w:r w:rsidRPr="002C25D6">
              <w:rPr>
                <w:rFonts w:ascii="Calibri" w:eastAsia="Calibri" w:hAnsi="Calibri" w:cs="Calibri"/>
              </w:rPr>
              <w:t>znižovania</w:t>
            </w:r>
            <w:r w:rsidRPr="002C25D6">
              <w:rPr>
                <w:rFonts w:ascii="Arial Hebrew" w:hAnsi="Arial Hebrew" w:cs="Arial Hebrew" w:hint="cs"/>
              </w:rPr>
              <w:t xml:space="preserve"> </w:t>
            </w:r>
            <w:r w:rsidRPr="002C25D6">
              <w:rPr>
                <w:rFonts w:ascii="Calibri" w:eastAsia="Calibri" w:hAnsi="Calibri" w:cs="Calibri"/>
              </w:rPr>
              <w:t>emisií</w:t>
            </w:r>
            <w:r w:rsidRPr="002C25D6">
              <w:rPr>
                <w:rFonts w:ascii="Arial Hebrew" w:hAnsi="Arial Hebrew" w:cs="Arial Hebrew" w:hint="cs"/>
              </w:rPr>
              <w:t xml:space="preserve"> </w:t>
            </w:r>
            <w:r w:rsidRPr="002C25D6">
              <w:rPr>
                <w:rFonts w:ascii="Calibri" w:eastAsia="Calibri" w:hAnsi="Calibri" w:cs="Calibri"/>
              </w:rPr>
              <w:t>skleníkových</w:t>
            </w:r>
            <w:r w:rsidRPr="002C25D6">
              <w:rPr>
                <w:rFonts w:ascii="Arial Hebrew" w:hAnsi="Arial Hebrew" w:cs="Arial Hebrew" w:hint="cs"/>
              </w:rPr>
              <w:t xml:space="preserve"> </w:t>
            </w:r>
            <w:r w:rsidRPr="002C25D6">
              <w:rPr>
                <w:rFonts w:ascii="Calibri" w:eastAsia="Calibri" w:hAnsi="Calibri" w:cs="Calibri"/>
              </w:rPr>
              <w:t>plynov</w:t>
            </w:r>
            <w:r w:rsidRPr="002C25D6">
              <w:rPr>
                <w:rFonts w:ascii="Arial Hebrew" w:hAnsi="Arial Hebrew" w:cs="Arial Hebrew" w:hint="cs"/>
              </w:rPr>
              <w:t xml:space="preserve"> </w:t>
            </w:r>
            <w:r w:rsidRPr="002C25D6">
              <w:rPr>
                <w:rFonts w:ascii="Calibri" w:eastAsia="Calibri" w:hAnsi="Calibri" w:cs="Calibri"/>
              </w:rPr>
              <w:t>a</w:t>
            </w:r>
            <w:r w:rsidRPr="002C25D6">
              <w:rPr>
                <w:rFonts w:ascii="Arial Hebrew" w:hAnsi="Arial Hebrew" w:cs="Arial Hebrew" w:hint="cs"/>
              </w:rPr>
              <w:t xml:space="preserve"> </w:t>
            </w:r>
            <w:r w:rsidRPr="002C25D6">
              <w:rPr>
                <w:rFonts w:ascii="Calibri" w:eastAsia="Calibri" w:hAnsi="Calibri" w:cs="Calibri"/>
              </w:rPr>
              <w:t>spotreby</w:t>
            </w:r>
            <w:r w:rsidRPr="002C25D6">
              <w:rPr>
                <w:rFonts w:ascii="Arial Hebrew" w:hAnsi="Arial Hebrew" w:cs="Arial Hebrew" w:hint="cs"/>
              </w:rPr>
              <w:t xml:space="preserve"> </w:t>
            </w:r>
            <w:r w:rsidRPr="002C25D6">
              <w:rPr>
                <w:rFonts w:ascii="Calibri" w:eastAsia="Calibri" w:hAnsi="Calibri" w:cs="Calibri"/>
              </w:rPr>
              <w:t>fosílnych</w:t>
            </w:r>
            <w:r w:rsidRPr="002C25D6">
              <w:rPr>
                <w:rFonts w:ascii="Arial Hebrew" w:hAnsi="Arial Hebrew" w:cs="Arial Hebrew" w:hint="cs"/>
              </w:rPr>
              <w:t xml:space="preserve"> </w:t>
            </w:r>
            <w:r w:rsidRPr="002C25D6">
              <w:rPr>
                <w:rFonts w:ascii="Calibri" w:eastAsia="Calibri" w:hAnsi="Calibri" w:cs="Calibri"/>
              </w:rPr>
              <w:t>palív</w:t>
            </w:r>
            <w:r w:rsidR="00664F42">
              <w:rPr>
                <w:rFonts w:ascii="Calibri" w:eastAsia="Calibri" w:hAnsi="Calibri" w:cs="Calibri"/>
              </w:rPr>
              <w:t>.</w:t>
            </w:r>
          </w:p>
          <w:p w14:paraId="19EF8CA0" w14:textId="3EA90AB3" w:rsidR="00B85B89" w:rsidRPr="002C25D6" w:rsidRDefault="00B85B89" w:rsidP="002C25D6">
            <w:pPr>
              <w:pStyle w:val="Tabuka"/>
              <w:numPr>
                <w:ilvl w:val="0"/>
                <w:numId w:val="27"/>
              </w:numPr>
              <w:contextualSpacing w:val="0"/>
              <w:rPr>
                <w:rFonts w:ascii="Arial Hebrew" w:hAnsi="Arial Hebrew" w:cs="Arial Hebrew"/>
              </w:rPr>
            </w:pPr>
            <w:r w:rsidRPr="002C25D6">
              <w:rPr>
                <w:rFonts w:ascii="Calibri" w:eastAsia="Calibri" w:hAnsi="Calibri" w:cs="Calibri"/>
              </w:rPr>
              <w:t>Zabezpečenie</w:t>
            </w:r>
            <w:r w:rsidRPr="002C25D6">
              <w:rPr>
                <w:rFonts w:ascii="Arial Hebrew" w:hAnsi="Arial Hebrew" w:cs="Arial Hebrew" w:hint="cs"/>
              </w:rPr>
              <w:t xml:space="preserve"> </w:t>
            </w:r>
            <w:r w:rsidRPr="002C25D6">
              <w:rPr>
                <w:rFonts w:ascii="Calibri" w:eastAsia="Calibri" w:hAnsi="Calibri" w:cs="Calibri"/>
              </w:rPr>
              <w:t>spoľahlivej</w:t>
            </w:r>
            <w:r w:rsidRPr="002C25D6">
              <w:rPr>
                <w:rFonts w:ascii="Arial Hebrew" w:hAnsi="Arial Hebrew" w:cs="Arial Hebrew" w:hint="cs"/>
              </w:rPr>
              <w:t xml:space="preserve">, </w:t>
            </w:r>
            <w:r w:rsidRPr="002C25D6">
              <w:rPr>
                <w:rFonts w:ascii="Calibri" w:eastAsia="Calibri" w:hAnsi="Calibri" w:cs="Calibri"/>
              </w:rPr>
              <w:t>udržateľnej</w:t>
            </w:r>
            <w:r w:rsidRPr="002C25D6">
              <w:rPr>
                <w:rFonts w:ascii="Arial Hebrew" w:hAnsi="Arial Hebrew" w:cs="Arial Hebrew" w:hint="cs"/>
              </w:rPr>
              <w:t>, </w:t>
            </w:r>
            <w:r w:rsidRPr="002C25D6">
              <w:rPr>
                <w:rFonts w:ascii="Calibri" w:eastAsia="Calibri" w:hAnsi="Calibri" w:cs="Calibri"/>
              </w:rPr>
              <w:t>modernej</w:t>
            </w:r>
            <w:r w:rsidRPr="002C25D6">
              <w:rPr>
                <w:rFonts w:ascii="Arial Hebrew" w:hAnsi="Arial Hebrew" w:cs="Arial Hebrew" w:hint="cs"/>
              </w:rPr>
              <w:t xml:space="preserve"> </w:t>
            </w:r>
            <w:r w:rsidRPr="002C25D6">
              <w:rPr>
                <w:rFonts w:ascii="Calibri" w:eastAsia="Calibri" w:hAnsi="Calibri" w:cs="Calibri"/>
              </w:rPr>
              <w:t>a</w:t>
            </w:r>
            <w:r w:rsidRPr="002C25D6">
              <w:rPr>
                <w:rFonts w:ascii="Arial Hebrew" w:hAnsi="Arial Hebrew" w:cs="Arial Hebrew" w:hint="cs"/>
              </w:rPr>
              <w:t xml:space="preserve"> </w:t>
            </w:r>
            <w:r w:rsidRPr="002C25D6">
              <w:rPr>
                <w:rFonts w:ascii="Calibri" w:eastAsia="Calibri" w:hAnsi="Calibri" w:cs="Calibri"/>
              </w:rPr>
              <w:t>cenovo</w:t>
            </w:r>
            <w:r w:rsidRPr="002C25D6">
              <w:rPr>
                <w:rFonts w:ascii="Arial Hebrew" w:hAnsi="Arial Hebrew" w:cs="Arial Hebrew" w:hint="cs"/>
              </w:rPr>
              <w:t xml:space="preserve"> </w:t>
            </w:r>
            <w:r w:rsidRPr="002C25D6">
              <w:rPr>
                <w:rFonts w:ascii="Calibri" w:eastAsia="Calibri" w:hAnsi="Calibri" w:cs="Calibri"/>
              </w:rPr>
              <w:t>dostupnej</w:t>
            </w:r>
            <w:r w:rsidRPr="002C25D6">
              <w:rPr>
                <w:rFonts w:ascii="Arial Hebrew" w:hAnsi="Arial Hebrew" w:cs="Arial Hebrew" w:hint="cs"/>
              </w:rPr>
              <w:t xml:space="preserve"> </w:t>
            </w:r>
            <w:r w:rsidRPr="002C25D6">
              <w:rPr>
                <w:rFonts w:ascii="Calibri" w:eastAsia="Calibri" w:hAnsi="Calibri" w:cs="Calibri"/>
              </w:rPr>
              <w:t>energie</w:t>
            </w:r>
            <w:r w:rsidR="00664F42">
              <w:rPr>
                <w:rFonts w:ascii="Calibri" w:eastAsia="Calibri" w:hAnsi="Calibri" w:cs="Calibri"/>
              </w:rPr>
              <w:t>.</w:t>
            </w:r>
          </w:p>
          <w:p w14:paraId="15F28C4D" w14:textId="04D5B619" w:rsidR="00B85B89" w:rsidRPr="002C25D6" w:rsidRDefault="006E2E8C" w:rsidP="006E2E8C">
            <w:pPr>
              <w:pStyle w:val="Tabuka"/>
              <w:numPr>
                <w:ilvl w:val="0"/>
                <w:numId w:val="27"/>
              </w:numPr>
              <w:contextualSpacing w:val="0"/>
              <w:rPr>
                <w:rFonts w:ascii="Arial Hebrew" w:hAnsi="Arial Hebrew" w:cs="Arial Hebrew"/>
              </w:rPr>
            </w:pPr>
            <w:r>
              <w:rPr>
                <w:rFonts w:ascii="Calibri" w:eastAsia="Calibri" w:hAnsi="Calibri" w:cs="Calibri"/>
              </w:rPr>
              <w:t>Smerovanie k u</w:t>
            </w:r>
            <w:r w:rsidR="00B85B89" w:rsidRPr="002C25D6">
              <w:rPr>
                <w:rFonts w:ascii="Calibri" w:eastAsia="Calibri" w:hAnsi="Calibri" w:cs="Calibri"/>
              </w:rPr>
              <w:t>držateľn</w:t>
            </w:r>
            <w:r>
              <w:rPr>
                <w:rFonts w:ascii="Calibri" w:eastAsia="Calibri" w:hAnsi="Calibri" w:cs="Calibri"/>
              </w:rPr>
              <w:t>ej</w:t>
            </w:r>
            <w:r w:rsidR="00B85B89" w:rsidRPr="002C25D6">
              <w:rPr>
                <w:rFonts w:ascii="Arial Hebrew" w:hAnsi="Arial Hebrew" w:cs="Arial Hebrew" w:hint="cs"/>
              </w:rPr>
              <w:t xml:space="preserve"> </w:t>
            </w:r>
            <w:r w:rsidR="00B85B89" w:rsidRPr="002C25D6">
              <w:rPr>
                <w:rFonts w:ascii="Calibri" w:eastAsia="Calibri" w:hAnsi="Calibri" w:cs="Calibri"/>
              </w:rPr>
              <w:t>mobilit</w:t>
            </w:r>
            <w:r>
              <w:rPr>
                <w:rFonts w:ascii="Calibri" w:eastAsia="Calibri" w:hAnsi="Calibri" w:cs="Calibri"/>
              </w:rPr>
              <w:t>e</w:t>
            </w:r>
            <w:r w:rsidR="00B85B89" w:rsidRPr="002C25D6">
              <w:rPr>
                <w:rFonts w:ascii="Arial Hebrew" w:hAnsi="Arial Hebrew" w:cs="Arial Hebrew" w:hint="cs"/>
              </w:rPr>
              <w:t xml:space="preserve"> </w:t>
            </w:r>
            <w:r w:rsidR="00664F42">
              <w:rPr>
                <w:rFonts w:ascii="Calibri" w:eastAsia="Calibri" w:hAnsi="Calibri" w:cs="Calibri"/>
              </w:rPr>
              <w:t>so</w:t>
            </w:r>
            <w:r w:rsidR="00B85B89" w:rsidRPr="002C25D6">
              <w:rPr>
                <w:rFonts w:ascii="Arial Hebrew" w:hAnsi="Arial Hebrew" w:cs="Arial Hebrew" w:hint="cs"/>
              </w:rPr>
              <w:t xml:space="preserve"> </w:t>
            </w:r>
            <w:r w:rsidR="00B85B89" w:rsidRPr="002C25D6">
              <w:rPr>
                <w:rFonts w:ascii="Calibri" w:eastAsia="Calibri" w:hAnsi="Calibri" w:cs="Calibri"/>
              </w:rPr>
              <w:t>zn</w:t>
            </w:r>
            <w:r w:rsidR="00664F42">
              <w:rPr>
                <w:rFonts w:ascii="Calibri" w:eastAsia="Calibri" w:hAnsi="Calibri" w:cs="Calibri"/>
              </w:rPr>
              <w:t>íženou</w:t>
            </w:r>
            <w:r w:rsidR="00B85B89" w:rsidRPr="002C25D6">
              <w:rPr>
                <w:rFonts w:ascii="Arial Hebrew" w:hAnsi="Arial Hebrew" w:cs="Arial Hebrew" w:hint="cs"/>
              </w:rPr>
              <w:t xml:space="preserve"> </w:t>
            </w:r>
            <w:r w:rsidR="00B85B89" w:rsidRPr="002C25D6">
              <w:rPr>
                <w:rFonts w:ascii="Calibri" w:eastAsia="Calibri" w:hAnsi="Calibri" w:cs="Calibri"/>
              </w:rPr>
              <w:t>spotreb</w:t>
            </w:r>
            <w:r w:rsidR="00664F42">
              <w:rPr>
                <w:rFonts w:ascii="Calibri" w:eastAsia="Calibri" w:hAnsi="Calibri" w:cs="Calibri"/>
              </w:rPr>
              <w:t>ou</w:t>
            </w:r>
            <w:r w:rsidR="00B85B89" w:rsidRPr="002C25D6">
              <w:rPr>
                <w:rFonts w:ascii="Arial Hebrew" w:hAnsi="Arial Hebrew" w:cs="Arial Hebrew" w:hint="cs"/>
              </w:rPr>
              <w:t xml:space="preserve"> </w:t>
            </w:r>
            <w:r w:rsidR="00B85B89" w:rsidRPr="002C25D6">
              <w:rPr>
                <w:rFonts w:ascii="Calibri" w:eastAsia="Calibri" w:hAnsi="Calibri" w:cs="Calibri"/>
              </w:rPr>
              <w:t>fosílnych</w:t>
            </w:r>
            <w:r w:rsidR="00B85B89" w:rsidRPr="002C25D6">
              <w:rPr>
                <w:rFonts w:ascii="Arial Hebrew" w:hAnsi="Arial Hebrew" w:cs="Arial Hebrew" w:hint="cs"/>
              </w:rPr>
              <w:t xml:space="preserve"> </w:t>
            </w:r>
            <w:r w:rsidR="00B85B89" w:rsidRPr="002C25D6">
              <w:rPr>
                <w:rFonts w:ascii="Calibri" w:eastAsia="Calibri" w:hAnsi="Calibri" w:cs="Calibri"/>
              </w:rPr>
              <w:t>palív</w:t>
            </w:r>
            <w:r w:rsidR="00B85B89" w:rsidRPr="002C25D6">
              <w:rPr>
                <w:rFonts w:ascii="Arial Hebrew" w:hAnsi="Arial Hebrew" w:cs="Arial Hebrew" w:hint="cs"/>
              </w:rPr>
              <w:t xml:space="preserve"> </w:t>
            </w:r>
            <w:r w:rsidR="00B85B89" w:rsidRPr="002C25D6">
              <w:rPr>
                <w:rFonts w:ascii="Calibri" w:eastAsia="Calibri" w:hAnsi="Calibri" w:cs="Calibri"/>
              </w:rPr>
              <w:t>a</w:t>
            </w:r>
            <w:r w:rsidR="00B85B89" w:rsidRPr="002C25D6">
              <w:rPr>
                <w:rFonts w:ascii="Arial Hebrew" w:hAnsi="Arial Hebrew" w:cs="Arial Hebrew" w:hint="cs"/>
              </w:rPr>
              <w:t> </w:t>
            </w:r>
            <w:r w:rsidR="00B85B89" w:rsidRPr="002C25D6">
              <w:rPr>
                <w:rFonts w:ascii="Calibri" w:eastAsia="Calibri" w:hAnsi="Calibri" w:cs="Calibri"/>
              </w:rPr>
              <w:t>zmen</w:t>
            </w:r>
            <w:r w:rsidR="00664F42">
              <w:rPr>
                <w:rFonts w:ascii="Calibri" w:eastAsia="Calibri" w:hAnsi="Calibri" w:cs="Calibri"/>
              </w:rPr>
              <w:t>ou</w:t>
            </w:r>
            <w:r w:rsidR="00B85B89" w:rsidRPr="002C25D6">
              <w:rPr>
                <w:rFonts w:ascii="Arial Hebrew" w:hAnsi="Arial Hebrew" w:cs="Arial Hebrew" w:hint="cs"/>
              </w:rPr>
              <w:t xml:space="preserve"> </w:t>
            </w:r>
            <w:r w:rsidR="00B85B89" w:rsidRPr="002C25D6">
              <w:rPr>
                <w:rFonts w:ascii="Calibri" w:eastAsia="Calibri" w:hAnsi="Calibri" w:cs="Calibri"/>
              </w:rPr>
              <w:t>spôsobu</w:t>
            </w:r>
            <w:r w:rsidR="00B85B89" w:rsidRPr="002C25D6">
              <w:rPr>
                <w:rFonts w:ascii="Arial Hebrew" w:hAnsi="Arial Hebrew" w:cs="Arial Hebrew" w:hint="cs"/>
              </w:rPr>
              <w:t xml:space="preserve"> </w:t>
            </w:r>
            <w:r w:rsidR="00B85B89" w:rsidRPr="002C25D6">
              <w:rPr>
                <w:rFonts w:ascii="Calibri" w:eastAsia="Calibri" w:hAnsi="Calibri" w:cs="Calibri"/>
              </w:rPr>
              <w:t>a</w:t>
            </w:r>
            <w:r w:rsidR="00B85B89" w:rsidRPr="002C25D6">
              <w:rPr>
                <w:rFonts w:ascii="Arial Hebrew" w:hAnsi="Arial Hebrew" w:cs="Arial Hebrew" w:hint="cs"/>
              </w:rPr>
              <w:t> </w:t>
            </w:r>
            <w:r w:rsidR="00B85B89" w:rsidRPr="002C25D6">
              <w:rPr>
                <w:rFonts w:ascii="Calibri" w:eastAsia="Calibri" w:hAnsi="Calibri" w:cs="Calibri"/>
              </w:rPr>
              <w:t>rozsahu</w:t>
            </w:r>
            <w:r w:rsidR="00B85B89" w:rsidRPr="002C25D6">
              <w:rPr>
                <w:rFonts w:ascii="Arial Hebrew" w:hAnsi="Arial Hebrew" w:cs="Arial Hebrew" w:hint="cs"/>
              </w:rPr>
              <w:t xml:space="preserve"> </w:t>
            </w:r>
            <w:r w:rsidR="00B85B89" w:rsidRPr="002C25D6">
              <w:rPr>
                <w:rFonts w:ascii="Calibri" w:eastAsia="Calibri" w:hAnsi="Calibri" w:cs="Calibri"/>
              </w:rPr>
              <w:t>dopravy</w:t>
            </w:r>
            <w:r w:rsidR="00B85B89" w:rsidRPr="002C25D6">
              <w:rPr>
                <w:rFonts w:ascii="Arial Hebrew" w:hAnsi="Arial Hebrew" w:cs="Arial Hebrew" w:hint="cs"/>
              </w:rPr>
              <w:t>.</w:t>
            </w:r>
          </w:p>
          <w:p w14:paraId="14FD25F7" w14:textId="77777777" w:rsidR="00B85B89" w:rsidRPr="002C25D6" w:rsidRDefault="00B85B89" w:rsidP="002C25D6">
            <w:pPr>
              <w:pStyle w:val="Tabuka"/>
              <w:numPr>
                <w:ilvl w:val="0"/>
                <w:numId w:val="27"/>
              </w:numPr>
              <w:contextualSpacing w:val="0"/>
              <w:rPr>
                <w:rFonts w:ascii="Arial Hebrew" w:hAnsi="Arial Hebrew" w:cs="Arial Hebrew"/>
              </w:rPr>
            </w:pPr>
            <w:r w:rsidRPr="002C25D6">
              <w:rPr>
                <w:rFonts w:ascii="Calibri" w:eastAsia="Calibri" w:hAnsi="Calibri" w:cs="Calibri"/>
              </w:rPr>
              <w:t>Udržateľné</w:t>
            </w:r>
            <w:r w:rsidRPr="002C25D6">
              <w:rPr>
                <w:rFonts w:ascii="Arial Hebrew" w:hAnsi="Arial Hebrew" w:cs="Arial Hebrew" w:hint="cs"/>
              </w:rPr>
              <w:t xml:space="preserve"> </w:t>
            </w:r>
            <w:r w:rsidRPr="002C25D6">
              <w:rPr>
                <w:rFonts w:ascii="Calibri" w:eastAsia="Calibri" w:hAnsi="Calibri" w:cs="Calibri"/>
              </w:rPr>
              <w:t>využívanie</w:t>
            </w:r>
            <w:r w:rsidRPr="002C25D6">
              <w:rPr>
                <w:rFonts w:ascii="Arial Hebrew" w:hAnsi="Arial Hebrew" w:cs="Arial Hebrew" w:hint="cs"/>
              </w:rPr>
              <w:t xml:space="preserve"> </w:t>
            </w:r>
            <w:r w:rsidRPr="002C25D6">
              <w:rPr>
                <w:rFonts w:ascii="Calibri" w:eastAsia="Calibri" w:hAnsi="Calibri" w:cs="Calibri"/>
              </w:rPr>
              <w:t>ekosystémov</w:t>
            </w:r>
            <w:r w:rsidRPr="002C25D6">
              <w:rPr>
                <w:rFonts w:ascii="Arial Hebrew" w:hAnsi="Arial Hebrew" w:cs="Arial Hebrew" w:hint="cs"/>
              </w:rPr>
              <w:t xml:space="preserve">, </w:t>
            </w:r>
            <w:r w:rsidRPr="002C25D6">
              <w:rPr>
                <w:rFonts w:ascii="Calibri" w:eastAsia="Calibri" w:hAnsi="Calibri" w:cs="Calibri"/>
              </w:rPr>
              <w:t>zachovanie</w:t>
            </w:r>
            <w:r w:rsidRPr="002C25D6">
              <w:rPr>
                <w:rFonts w:ascii="Arial Hebrew" w:hAnsi="Arial Hebrew" w:cs="Arial Hebrew" w:hint="cs"/>
              </w:rPr>
              <w:t xml:space="preserve"> </w:t>
            </w:r>
            <w:r w:rsidRPr="002C25D6">
              <w:rPr>
                <w:rFonts w:ascii="Calibri" w:eastAsia="Calibri" w:hAnsi="Calibri" w:cs="Calibri"/>
              </w:rPr>
              <w:t>biodiverzity</w:t>
            </w:r>
            <w:r w:rsidRPr="002C25D6">
              <w:rPr>
                <w:rFonts w:ascii="Arial Hebrew" w:hAnsi="Arial Hebrew" w:cs="Arial Hebrew" w:hint="cs"/>
              </w:rPr>
              <w:t xml:space="preserve"> </w:t>
            </w:r>
            <w:r w:rsidRPr="002C25D6">
              <w:rPr>
                <w:rFonts w:ascii="Calibri" w:eastAsia="Calibri" w:hAnsi="Calibri" w:cs="Calibri"/>
              </w:rPr>
              <w:t>a</w:t>
            </w:r>
            <w:r w:rsidRPr="002C25D6">
              <w:rPr>
                <w:rFonts w:ascii="Arial Hebrew" w:hAnsi="Arial Hebrew" w:cs="Arial Hebrew" w:hint="cs"/>
              </w:rPr>
              <w:t> </w:t>
            </w:r>
            <w:r w:rsidRPr="002C25D6">
              <w:rPr>
                <w:rFonts w:ascii="Calibri" w:eastAsia="Calibri" w:hAnsi="Calibri" w:cs="Calibri"/>
              </w:rPr>
              <w:t>podpora</w:t>
            </w:r>
            <w:r w:rsidRPr="002C25D6">
              <w:rPr>
                <w:rFonts w:ascii="Arial Hebrew" w:hAnsi="Arial Hebrew" w:cs="Arial Hebrew" w:hint="cs"/>
              </w:rPr>
              <w:t xml:space="preserve"> </w:t>
            </w:r>
            <w:r w:rsidRPr="002C25D6">
              <w:rPr>
                <w:rFonts w:ascii="Calibri" w:eastAsia="Calibri" w:hAnsi="Calibri" w:cs="Calibri"/>
              </w:rPr>
              <w:t>adaptačných</w:t>
            </w:r>
            <w:r w:rsidRPr="002C25D6">
              <w:rPr>
                <w:rFonts w:ascii="Arial Hebrew" w:hAnsi="Arial Hebrew" w:cs="Arial Hebrew" w:hint="cs"/>
              </w:rPr>
              <w:t xml:space="preserve"> </w:t>
            </w:r>
            <w:r w:rsidRPr="002C25D6">
              <w:rPr>
                <w:rFonts w:ascii="Calibri" w:eastAsia="Calibri" w:hAnsi="Calibri" w:cs="Calibri"/>
              </w:rPr>
              <w:t>opatrení</w:t>
            </w:r>
            <w:r w:rsidRPr="002C25D6">
              <w:rPr>
                <w:rFonts w:ascii="Arial Hebrew" w:hAnsi="Arial Hebrew" w:cs="Arial Hebrew" w:hint="cs"/>
              </w:rPr>
              <w:t xml:space="preserve"> </w:t>
            </w:r>
            <w:r w:rsidRPr="002C25D6">
              <w:rPr>
                <w:rFonts w:ascii="Calibri" w:eastAsia="Calibri" w:hAnsi="Calibri" w:cs="Calibri"/>
              </w:rPr>
              <w:t>na</w:t>
            </w:r>
            <w:r w:rsidRPr="002C25D6">
              <w:rPr>
                <w:rFonts w:ascii="Arial Hebrew" w:hAnsi="Arial Hebrew" w:cs="Arial Hebrew" w:hint="cs"/>
              </w:rPr>
              <w:t xml:space="preserve"> </w:t>
            </w:r>
            <w:r w:rsidRPr="002C25D6">
              <w:rPr>
                <w:rFonts w:ascii="Calibri" w:eastAsia="Calibri" w:hAnsi="Calibri" w:cs="Calibri"/>
              </w:rPr>
              <w:t>zmenu</w:t>
            </w:r>
            <w:r w:rsidRPr="002C25D6">
              <w:rPr>
                <w:rFonts w:ascii="Arial Hebrew" w:hAnsi="Arial Hebrew" w:cs="Arial Hebrew" w:hint="cs"/>
              </w:rPr>
              <w:t xml:space="preserve"> </w:t>
            </w:r>
            <w:r w:rsidRPr="002C25D6">
              <w:rPr>
                <w:rFonts w:ascii="Calibri" w:eastAsia="Calibri" w:hAnsi="Calibri" w:cs="Calibri"/>
              </w:rPr>
              <w:t>klímy</w:t>
            </w:r>
            <w:r w:rsidRPr="002C25D6">
              <w:rPr>
                <w:rFonts w:ascii="Arial Hebrew" w:hAnsi="Arial Hebrew" w:cs="Arial Hebrew" w:hint="cs"/>
              </w:rPr>
              <w:t>.</w:t>
            </w:r>
          </w:p>
          <w:p w14:paraId="4EA62CDA" w14:textId="4AD25AA7" w:rsidR="00B85B89" w:rsidRPr="002C25D6" w:rsidRDefault="006E2E8C" w:rsidP="006E2E8C">
            <w:pPr>
              <w:pStyle w:val="Tabuka"/>
              <w:numPr>
                <w:ilvl w:val="0"/>
                <w:numId w:val="27"/>
              </w:numPr>
              <w:contextualSpacing w:val="0"/>
              <w:rPr>
                <w:rFonts w:ascii="Arial Hebrew" w:hAnsi="Arial Hebrew" w:cs="Arial Hebrew"/>
              </w:rPr>
            </w:pPr>
            <w:r>
              <w:rPr>
                <w:rFonts w:ascii="Calibri" w:eastAsia="Calibri" w:hAnsi="Calibri" w:cs="Calibri"/>
                <w:bCs/>
                <w:lang w:eastAsia="en-GB"/>
              </w:rPr>
              <w:t>Zabezpečenie u</w:t>
            </w:r>
            <w:r w:rsidR="00B85B89" w:rsidRPr="002C25D6">
              <w:rPr>
                <w:rFonts w:ascii="Calibri" w:eastAsia="Calibri" w:hAnsi="Calibri" w:cs="Calibri"/>
                <w:bCs/>
                <w:lang w:eastAsia="en-GB"/>
              </w:rPr>
              <w:t>držateľn</w:t>
            </w:r>
            <w:r>
              <w:rPr>
                <w:rFonts w:ascii="Calibri" w:eastAsia="Calibri" w:hAnsi="Calibri" w:cs="Calibri"/>
                <w:bCs/>
                <w:lang w:eastAsia="en-GB"/>
              </w:rPr>
              <w:t>ého</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spoľahliv</w:t>
            </w:r>
            <w:r>
              <w:rPr>
                <w:rFonts w:ascii="Calibri" w:eastAsia="Calibri" w:hAnsi="Calibri" w:cs="Calibri"/>
                <w:bCs/>
                <w:lang w:eastAsia="en-GB"/>
              </w:rPr>
              <w:t>ého</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a</w:t>
            </w:r>
            <w:r w:rsidR="00B85B89" w:rsidRPr="002C25D6">
              <w:rPr>
                <w:rFonts w:ascii="Arial Hebrew" w:hAnsi="Arial Hebrew" w:cs="Arial Hebrew" w:hint="cs"/>
                <w:bCs/>
                <w:lang w:eastAsia="en-GB"/>
              </w:rPr>
              <w:t> </w:t>
            </w:r>
            <w:r w:rsidR="00B85B89" w:rsidRPr="002C25D6">
              <w:rPr>
                <w:rFonts w:ascii="Calibri" w:eastAsia="Calibri" w:hAnsi="Calibri" w:cs="Calibri"/>
                <w:bCs/>
                <w:lang w:eastAsia="en-GB"/>
              </w:rPr>
              <w:t>modern</w:t>
            </w:r>
            <w:r>
              <w:rPr>
                <w:rFonts w:ascii="Calibri" w:eastAsia="Calibri" w:hAnsi="Calibri" w:cs="Calibri"/>
                <w:bCs/>
                <w:lang w:eastAsia="en-GB"/>
              </w:rPr>
              <w:t>ého</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systém</w:t>
            </w:r>
            <w:r>
              <w:rPr>
                <w:rFonts w:ascii="Calibri" w:eastAsia="Calibri" w:hAnsi="Calibri" w:cs="Calibri"/>
                <w:bCs/>
                <w:lang w:eastAsia="en-GB"/>
              </w:rPr>
              <w:t>u</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energie</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pre</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všetkých</w:t>
            </w:r>
            <w:r w:rsidR="00664F42">
              <w:rPr>
                <w:rFonts w:ascii="Arial Hebrew" w:hAnsi="Arial Hebrew" w:cs="Arial Hebrew" w:hint="cs"/>
                <w:bCs/>
                <w:lang w:eastAsia="en-GB"/>
              </w:rPr>
              <w:t>.</w:t>
            </w:r>
          </w:p>
          <w:p w14:paraId="581382E8" w14:textId="470B4A6D" w:rsidR="00B85B89" w:rsidRPr="002C25D6" w:rsidRDefault="006E2E8C" w:rsidP="006E2E8C">
            <w:pPr>
              <w:pStyle w:val="Tabuka"/>
              <w:numPr>
                <w:ilvl w:val="0"/>
                <w:numId w:val="27"/>
              </w:numPr>
              <w:contextualSpacing w:val="0"/>
              <w:rPr>
                <w:rFonts w:ascii="Arial Hebrew" w:hAnsi="Arial Hebrew" w:cs="Arial Hebrew"/>
              </w:rPr>
            </w:pPr>
            <w:r>
              <w:rPr>
                <w:rFonts w:ascii="Calibri" w:eastAsia="Calibri" w:hAnsi="Calibri" w:cs="Calibri"/>
                <w:bCs/>
                <w:lang w:eastAsia="en-GB"/>
              </w:rPr>
              <w:t>Vytváranie p</w:t>
            </w:r>
            <w:r w:rsidR="00B85B89" w:rsidRPr="002C25D6">
              <w:rPr>
                <w:rFonts w:ascii="Calibri" w:eastAsia="Calibri" w:hAnsi="Calibri" w:cs="Calibri"/>
                <w:bCs/>
                <w:lang w:eastAsia="en-GB"/>
              </w:rPr>
              <w:t>odmien</w:t>
            </w:r>
            <w:r>
              <w:rPr>
                <w:rFonts w:ascii="Calibri" w:eastAsia="Calibri" w:hAnsi="Calibri" w:cs="Calibri"/>
                <w:bCs/>
                <w:lang w:eastAsia="en-GB"/>
              </w:rPr>
              <w:t>o</w:t>
            </w:r>
            <w:r w:rsidR="00B85B89" w:rsidRPr="002C25D6">
              <w:rPr>
                <w:rFonts w:ascii="Calibri" w:eastAsia="Calibri" w:hAnsi="Calibri" w:cs="Calibri"/>
                <w:bCs/>
                <w:lang w:eastAsia="en-GB"/>
              </w:rPr>
              <w:t>k</w:t>
            </w:r>
            <w:r w:rsidR="00B85B89" w:rsidRPr="00664F42">
              <w:rPr>
                <w:rFonts w:ascii="Calibri" w:eastAsia="Calibri" w:hAnsi="Calibri" w:cs="Calibri" w:hint="cs"/>
                <w:bCs/>
                <w:lang w:eastAsia="en-GB"/>
              </w:rPr>
              <w:t xml:space="preserve"> </w:t>
            </w:r>
            <w:r w:rsidR="00B85B89" w:rsidRPr="002C25D6">
              <w:rPr>
                <w:rFonts w:ascii="Calibri" w:eastAsia="Calibri" w:hAnsi="Calibri" w:cs="Calibri"/>
                <w:bCs/>
                <w:lang w:eastAsia="en-GB"/>
              </w:rPr>
              <w:t>pre</w:t>
            </w:r>
            <w:r w:rsidR="00B85B89" w:rsidRPr="00664F42">
              <w:rPr>
                <w:rFonts w:ascii="Calibri" w:eastAsia="Calibri" w:hAnsi="Calibri" w:cs="Calibri" w:hint="cs"/>
                <w:bCs/>
                <w:lang w:eastAsia="en-GB"/>
              </w:rPr>
              <w:t xml:space="preserve"> </w:t>
            </w:r>
            <w:r w:rsidR="00664F42" w:rsidRPr="00664F42">
              <w:rPr>
                <w:rFonts w:ascii="Calibri" w:eastAsia="Calibri" w:hAnsi="Calibri" w:cs="Calibri"/>
                <w:bCs/>
                <w:lang w:eastAsia="en-GB"/>
              </w:rPr>
              <w:t>inteligentné</w:t>
            </w:r>
            <w:r w:rsidR="00B85B89" w:rsidRPr="00664F42">
              <w:rPr>
                <w:rFonts w:ascii="Calibri" w:eastAsia="Calibri" w:hAnsi="Calibri" w:cs="Calibri" w:hint="cs"/>
                <w:bCs/>
                <w:lang w:eastAsia="en-GB"/>
              </w:rPr>
              <w:t xml:space="preserve"> </w:t>
            </w:r>
            <w:r w:rsidR="00B85B89" w:rsidRPr="002C25D6">
              <w:rPr>
                <w:rFonts w:ascii="Calibri" w:eastAsia="Calibri" w:hAnsi="Calibri" w:cs="Calibri"/>
                <w:bCs/>
                <w:lang w:eastAsia="en-GB"/>
              </w:rPr>
              <w:t>mestá</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a</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inteligentnú</w:t>
            </w:r>
            <w:r w:rsidR="00B85B89" w:rsidRPr="002C25D6">
              <w:rPr>
                <w:rFonts w:ascii="Arial Hebrew" w:hAnsi="Arial Hebrew" w:cs="Arial Hebrew" w:hint="cs"/>
                <w:bCs/>
                <w:lang w:eastAsia="en-GB"/>
              </w:rPr>
              <w:t xml:space="preserve"> </w:t>
            </w:r>
            <w:r w:rsidR="00480B8C" w:rsidRPr="002C25D6">
              <w:rPr>
                <w:rFonts w:asciiTheme="minorHAnsi" w:hAnsiTheme="minorHAnsi" w:cstheme="minorHAnsi"/>
                <w:bCs/>
                <w:lang w:eastAsia="en-GB"/>
              </w:rPr>
              <w:t>infra</w:t>
            </w:r>
            <w:r w:rsidR="00B85B89" w:rsidRPr="002C25D6">
              <w:rPr>
                <w:rFonts w:asciiTheme="minorHAnsi" w:eastAsia="Calibri" w:hAnsiTheme="minorHAnsi" w:cstheme="minorHAnsi"/>
                <w:bCs/>
                <w:lang w:eastAsia="en-GB"/>
              </w:rPr>
              <w:t>štruktúru</w:t>
            </w:r>
            <w:r w:rsidR="00664F42">
              <w:rPr>
                <w:rFonts w:ascii="Arial Hebrew" w:hAnsi="Arial Hebrew" w:cs="Arial Hebrew" w:hint="cs"/>
                <w:bCs/>
                <w:lang w:eastAsia="en-GB"/>
              </w:rPr>
              <w:t>.</w:t>
            </w:r>
          </w:p>
        </w:tc>
      </w:tr>
      <w:tr w:rsidR="00B85B89" w:rsidRPr="002C25D6" w14:paraId="0E05266B" w14:textId="77777777" w:rsidTr="002C25D6">
        <w:tc>
          <w:tcPr>
            <w:tcW w:w="1677" w:type="dxa"/>
            <w:tcMar>
              <w:left w:w="28" w:type="dxa"/>
              <w:right w:w="28" w:type="dxa"/>
            </w:tcMar>
            <w:vAlign w:val="center"/>
          </w:tcPr>
          <w:p w14:paraId="1AFFD936" w14:textId="77777777" w:rsidR="00B85B89" w:rsidRPr="002C25D6" w:rsidRDefault="00B85B89" w:rsidP="002C25D6">
            <w:pPr>
              <w:pStyle w:val="Tabuka"/>
              <w:contextualSpacing w:val="0"/>
              <w:rPr>
                <w:rFonts w:ascii="Arial Hebrew" w:eastAsiaTheme="majorEastAsia" w:hAnsi="Arial Hebrew" w:cs="Arial Hebrew"/>
                <w:b/>
                <w:bCs/>
              </w:rPr>
            </w:pPr>
            <w:r w:rsidRPr="002C25D6">
              <w:rPr>
                <w:rFonts w:ascii="Calibri" w:eastAsia="Calibri" w:hAnsi="Calibri" w:cs="Calibri"/>
                <w:b/>
              </w:rPr>
              <w:t>Eliminácia</w:t>
            </w:r>
            <w:r w:rsidRPr="002C25D6">
              <w:rPr>
                <w:rFonts w:ascii="Arial Hebrew" w:hAnsi="Arial Hebrew" w:cs="Arial Hebrew" w:hint="cs"/>
                <w:b/>
              </w:rPr>
              <w:t xml:space="preserve"> </w:t>
            </w:r>
            <w:r w:rsidRPr="002C25D6">
              <w:rPr>
                <w:rFonts w:ascii="Calibri" w:eastAsia="Calibri" w:hAnsi="Calibri" w:cs="Calibri"/>
                <w:b/>
              </w:rPr>
              <w:t>chudoby</w:t>
            </w:r>
            <w:r w:rsidRPr="002C25D6">
              <w:rPr>
                <w:rFonts w:ascii="Arial Hebrew" w:hAnsi="Arial Hebrew" w:cs="Arial Hebrew" w:hint="cs"/>
                <w:b/>
              </w:rPr>
              <w:t xml:space="preserve"> </w:t>
            </w:r>
            <w:r w:rsidRPr="002C25D6">
              <w:rPr>
                <w:rFonts w:ascii="Calibri" w:eastAsia="Calibri" w:hAnsi="Calibri" w:cs="Calibri"/>
                <w:b/>
              </w:rPr>
              <w:t>a</w:t>
            </w:r>
            <w:r w:rsidRPr="002C25D6">
              <w:rPr>
                <w:rFonts w:ascii="Arial Hebrew" w:hAnsi="Arial Hebrew" w:cs="Arial Hebrew" w:hint="cs"/>
                <w:b/>
              </w:rPr>
              <w:t xml:space="preserve"> </w:t>
            </w:r>
            <w:r w:rsidRPr="002C25D6">
              <w:rPr>
                <w:rFonts w:ascii="Calibri" w:eastAsia="Calibri" w:hAnsi="Calibri" w:cs="Calibri"/>
                <w:b/>
              </w:rPr>
              <w:t>sociálna</w:t>
            </w:r>
            <w:r w:rsidRPr="002C25D6">
              <w:rPr>
                <w:rFonts w:ascii="Arial Hebrew" w:hAnsi="Arial Hebrew" w:cs="Arial Hebrew" w:hint="cs"/>
                <w:b/>
              </w:rPr>
              <w:t xml:space="preserve"> </w:t>
            </w:r>
            <w:r w:rsidRPr="002C25D6">
              <w:rPr>
                <w:rFonts w:ascii="Calibri" w:eastAsia="Calibri" w:hAnsi="Calibri" w:cs="Calibri"/>
                <w:b/>
              </w:rPr>
              <w:t>inklúzia</w:t>
            </w:r>
          </w:p>
        </w:tc>
        <w:tc>
          <w:tcPr>
            <w:tcW w:w="1701" w:type="dxa"/>
            <w:tcMar>
              <w:left w:w="28" w:type="dxa"/>
              <w:right w:w="28" w:type="dxa"/>
            </w:tcMar>
            <w:vAlign w:val="center"/>
          </w:tcPr>
          <w:p w14:paraId="643C9DFE" w14:textId="77777777" w:rsidR="00B85B89" w:rsidRPr="002C25D6" w:rsidRDefault="00B85B89" w:rsidP="002C25D6">
            <w:pPr>
              <w:pStyle w:val="Tabuka"/>
              <w:contextualSpacing w:val="0"/>
              <w:jc w:val="center"/>
              <w:rPr>
                <w:rFonts w:ascii="Arial Hebrew" w:hAnsi="Arial Hebrew" w:cs="Arial Hebrew"/>
              </w:rPr>
            </w:pPr>
            <w:r w:rsidRPr="002C25D6">
              <w:rPr>
                <w:rFonts w:ascii="Arial Hebrew" w:hAnsi="Arial Hebrew" w:cs="Arial Hebrew" w:hint="cs"/>
                <w:noProof/>
                <w:lang w:val="cs-CZ" w:eastAsia="cs-CZ"/>
              </w:rPr>
              <w:drawing>
                <wp:inline distT="0" distB="0" distL="0" distR="0" wp14:anchorId="39667746" wp14:editId="6046DB9C">
                  <wp:extent cx="372262" cy="372262"/>
                  <wp:effectExtent l="0" t="0" r="8890" b="8890"/>
                  <wp:docPr id="44" name="Obrázok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2568" cy="372568"/>
                          </a:xfrm>
                          <a:prstGeom prst="rect">
                            <a:avLst/>
                          </a:prstGeom>
                          <a:noFill/>
                          <a:ln>
                            <a:noFill/>
                          </a:ln>
                        </pic:spPr>
                      </pic:pic>
                    </a:graphicData>
                  </a:graphic>
                </wp:inline>
              </w:drawing>
            </w:r>
            <w:r w:rsidRPr="002C25D6">
              <w:rPr>
                <w:rFonts w:ascii="Arial Hebrew" w:hAnsi="Arial Hebrew" w:cs="Arial Hebrew" w:hint="cs"/>
                <w:noProof/>
              </w:rPr>
              <w:t xml:space="preserve"> </w:t>
            </w:r>
            <w:r w:rsidRPr="002C25D6">
              <w:rPr>
                <w:rFonts w:ascii="Arial Hebrew" w:hAnsi="Arial Hebrew" w:cs="Arial Hebrew" w:hint="cs"/>
                <w:noProof/>
                <w:lang w:val="cs-CZ" w:eastAsia="cs-CZ"/>
              </w:rPr>
              <w:drawing>
                <wp:inline distT="0" distB="0" distL="0" distR="0" wp14:anchorId="66439B58" wp14:editId="77AA0646">
                  <wp:extent cx="381000" cy="373380"/>
                  <wp:effectExtent l="0" t="0" r="0" b="7620"/>
                  <wp:docPr id="45" name="Obrázok 15" descr="C:\Users\Vlado\Documents\SDG 10 zníženie nerovnost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o\Documents\SDG 10 zníženie nerovností.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882" cy="374244"/>
                          </a:xfrm>
                          <a:prstGeom prst="rect">
                            <a:avLst/>
                          </a:prstGeom>
                          <a:noFill/>
                          <a:ln>
                            <a:noFill/>
                          </a:ln>
                        </pic:spPr>
                      </pic:pic>
                    </a:graphicData>
                  </a:graphic>
                </wp:inline>
              </w:drawing>
            </w:r>
          </w:p>
        </w:tc>
        <w:tc>
          <w:tcPr>
            <w:tcW w:w="11081" w:type="dxa"/>
            <w:tcMar>
              <w:left w:w="28" w:type="dxa"/>
              <w:right w:w="28" w:type="dxa"/>
            </w:tcMar>
            <w:vAlign w:val="center"/>
          </w:tcPr>
          <w:p w14:paraId="04860E04" w14:textId="393C3A0C" w:rsidR="00B85B89" w:rsidRPr="002C25D6" w:rsidRDefault="00B85B89" w:rsidP="002C25D6">
            <w:pPr>
              <w:pStyle w:val="Tabuka"/>
              <w:numPr>
                <w:ilvl w:val="0"/>
                <w:numId w:val="31"/>
              </w:numPr>
              <w:contextualSpacing w:val="0"/>
              <w:rPr>
                <w:rFonts w:ascii="Arial Hebrew" w:hAnsi="Arial Hebrew" w:cs="Arial Hebrew"/>
              </w:rPr>
            </w:pPr>
            <w:r w:rsidRPr="002C25D6">
              <w:rPr>
                <w:rFonts w:ascii="Calibri" w:eastAsia="Calibri" w:hAnsi="Calibri" w:cs="Calibri"/>
              </w:rPr>
              <w:t>Zníženie</w:t>
            </w:r>
            <w:r w:rsidRPr="002C25D6">
              <w:rPr>
                <w:rFonts w:ascii="Arial Hebrew" w:hAnsi="Arial Hebrew" w:cs="Arial Hebrew" w:hint="cs"/>
              </w:rPr>
              <w:t xml:space="preserve"> </w:t>
            </w:r>
            <w:r w:rsidRPr="002C25D6">
              <w:rPr>
                <w:rFonts w:ascii="Calibri" w:eastAsia="Calibri" w:hAnsi="Calibri" w:cs="Calibri"/>
              </w:rPr>
              <w:t>sociálnych</w:t>
            </w:r>
            <w:r w:rsidRPr="002C25D6">
              <w:rPr>
                <w:rFonts w:ascii="Arial Hebrew" w:hAnsi="Arial Hebrew" w:cs="Arial Hebrew" w:hint="cs"/>
              </w:rPr>
              <w:t xml:space="preserve"> </w:t>
            </w:r>
            <w:r w:rsidRPr="002C25D6">
              <w:rPr>
                <w:rFonts w:ascii="Calibri" w:eastAsia="Calibri" w:hAnsi="Calibri" w:cs="Calibri"/>
              </w:rPr>
              <w:t>a</w:t>
            </w:r>
            <w:r w:rsidRPr="002C25D6">
              <w:rPr>
                <w:rFonts w:ascii="Arial Hebrew" w:hAnsi="Arial Hebrew" w:cs="Arial Hebrew" w:hint="cs"/>
              </w:rPr>
              <w:t> </w:t>
            </w:r>
            <w:r w:rsidRPr="002C25D6">
              <w:rPr>
                <w:rFonts w:ascii="Calibri" w:eastAsia="Calibri" w:hAnsi="Calibri" w:cs="Calibri"/>
              </w:rPr>
              <w:t>ekonomických</w:t>
            </w:r>
            <w:r w:rsidRPr="002C25D6">
              <w:rPr>
                <w:rFonts w:ascii="Arial Hebrew" w:hAnsi="Arial Hebrew" w:cs="Arial Hebrew" w:hint="cs"/>
              </w:rPr>
              <w:t xml:space="preserve"> </w:t>
            </w:r>
            <w:r w:rsidRPr="002C25D6">
              <w:rPr>
                <w:rFonts w:ascii="Calibri" w:eastAsia="Calibri" w:hAnsi="Calibri" w:cs="Calibri"/>
              </w:rPr>
              <w:t>nerovností</w:t>
            </w:r>
            <w:r w:rsidRPr="002C25D6">
              <w:rPr>
                <w:rFonts w:ascii="Arial Hebrew" w:hAnsi="Arial Hebrew" w:cs="Arial Hebrew" w:hint="cs"/>
              </w:rPr>
              <w:t xml:space="preserve"> </w:t>
            </w:r>
            <w:r w:rsidRPr="002C25D6">
              <w:rPr>
                <w:rFonts w:ascii="Calibri" w:eastAsia="Calibri" w:hAnsi="Calibri" w:cs="Calibri"/>
              </w:rPr>
              <w:t>medzi</w:t>
            </w:r>
            <w:r w:rsidRPr="002C25D6">
              <w:rPr>
                <w:rFonts w:ascii="Arial Hebrew" w:hAnsi="Arial Hebrew" w:cs="Arial Hebrew" w:hint="cs"/>
              </w:rPr>
              <w:t xml:space="preserve"> </w:t>
            </w:r>
            <w:r w:rsidRPr="002C25D6">
              <w:rPr>
                <w:rFonts w:ascii="Calibri" w:eastAsia="Calibri" w:hAnsi="Calibri" w:cs="Calibri"/>
              </w:rPr>
              <w:t>jednotlivými</w:t>
            </w:r>
            <w:r w:rsidRPr="002C25D6">
              <w:rPr>
                <w:rFonts w:ascii="Arial Hebrew" w:hAnsi="Arial Hebrew" w:cs="Arial Hebrew" w:hint="cs"/>
              </w:rPr>
              <w:t xml:space="preserve"> </w:t>
            </w:r>
            <w:r w:rsidRPr="002C25D6">
              <w:rPr>
                <w:rFonts w:ascii="Calibri" w:eastAsia="Calibri" w:hAnsi="Calibri" w:cs="Calibri"/>
              </w:rPr>
              <w:t>skupinami</w:t>
            </w:r>
            <w:r w:rsidRPr="002C25D6">
              <w:rPr>
                <w:rFonts w:ascii="Arial Hebrew" w:hAnsi="Arial Hebrew" w:cs="Arial Hebrew" w:hint="cs"/>
              </w:rPr>
              <w:t xml:space="preserve"> </w:t>
            </w:r>
            <w:r w:rsidRPr="002C25D6">
              <w:rPr>
                <w:rFonts w:ascii="Calibri" w:eastAsia="Calibri" w:hAnsi="Calibri" w:cs="Calibri"/>
              </w:rPr>
              <w:t>obyvateľstva</w:t>
            </w:r>
            <w:r w:rsidR="006E2E8C">
              <w:rPr>
                <w:rFonts w:ascii="Calibri" w:eastAsia="Calibri" w:hAnsi="Calibri" w:cs="Calibri"/>
              </w:rPr>
              <w:t>.</w:t>
            </w:r>
          </w:p>
          <w:p w14:paraId="25D462C8" w14:textId="568B9E92" w:rsidR="00B85B89" w:rsidRPr="002C25D6" w:rsidRDefault="00B85B89" w:rsidP="002C25D6">
            <w:pPr>
              <w:pStyle w:val="Tabuka"/>
              <w:numPr>
                <w:ilvl w:val="0"/>
                <w:numId w:val="31"/>
              </w:numPr>
              <w:contextualSpacing w:val="0"/>
              <w:rPr>
                <w:rFonts w:ascii="Arial Hebrew" w:hAnsi="Arial Hebrew" w:cs="Arial Hebrew"/>
              </w:rPr>
            </w:pPr>
            <w:r w:rsidRPr="002C25D6">
              <w:rPr>
                <w:rFonts w:ascii="Calibri" w:eastAsia="Calibri" w:hAnsi="Calibri" w:cs="Calibri"/>
              </w:rPr>
              <w:t>Integrácia</w:t>
            </w:r>
            <w:r w:rsidRPr="002C25D6">
              <w:rPr>
                <w:rFonts w:ascii="Arial Hebrew" w:hAnsi="Arial Hebrew" w:cs="Arial Hebrew" w:hint="cs"/>
              </w:rPr>
              <w:t xml:space="preserve"> </w:t>
            </w:r>
            <w:r w:rsidRPr="002C25D6">
              <w:rPr>
                <w:rFonts w:ascii="Calibri" w:eastAsia="Calibri" w:hAnsi="Calibri" w:cs="Calibri"/>
              </w:rPr>
              <w:t>marginalizovanej</w:t>
            </w:r>
            <w:r w:rsidRPr="002C25D6">
              <w:rPr>
                <w:rFonts w:ascii="Arial Hebrew" w:hAnsi="Arial Hebrew" w:cs="Arial Hebrew" w:hint="cs"/>
              </w:rPr>
              <w:t xml:space="preserve"> </w:t>
            </w:r>
            <w:r w:rsidRPr="002C25D6">
              <w:rPr>
                <w:rFonts w:ascii="Calibri" w:eastAsia="Calibri" w:hAnsi="Calibri" w:cs="Calibri"/>
              </w:rPr>
              <w:t>rómskej</w:t>
            </w:r>
            <w:r w:rsidRPr="002C25D6">
              <w:rPr>
                <w:rFonts w:ascii="Arial Hebrew" w:hAnsi="Arial Hebrew" w:cs="Arial Hebrew" w:hint="cs"/>
              </w:rPr>
              <w:t xml:space="preserve"> </w:t>
            </w:r>
            <w:r w:rsidRPr="002C25D6">
              <w:rPr>
                <w:rFonts w:ascii="Calibri" w:eastAsia="Calibri" w:hAnsi="Calibri" w:cs="Calibri"/>
              </w:rPr>
              <w:t>populácie</w:t>
            </w:r>
            <w:r w:rsidR="006E2E8C">
              <w:rPr>
                <w:rFonts w:ascii="Calibri" w:eastAsia="Calibri" w:hAnsi="Calibri" w:cs="Calibri"/>
              </w:rPr>
              <w:t>.</w:t>
            </w:r>
          </w:p>
          <w:p w14:paraId="5FDE5664" w14:textId="454F3A6E" w:rsidR="00B85B89" w:rsidRPr="002C25D6" w:rsidRDefault="00B85B89" w:rsidP="002C25D6">
            <w:pPr>
              <w:pStyle w:val="Tabuka"/>
              <w:numPr>
                <w:ilvl w:val="0"/>
                <w:numId w:val="31"/>
              </w:numPr>
              <w:contextualSpacing w:val="0"/>
              <w:rPr>
                <w:rFonts w:ascii="Arial Hebrew" w:hAnsi="Arial Hebrew" w:cs="Arial Hebrew"/>
              </w:rPr>
            </w:pPr>
            <w:r w:rsidRPr="002C25D6">
              <w:rPr>
                <w:rFonts w:ascii="Calibri" w:eastAsia="Calibri" w:hAnsi="Calibri" w:cs="Calibri"/>
              </w:rPr>
              <w:t>Zabezpečenie</w:t>
            </w:r>
            <w:r w:rsidRPr="002C25D6">
              <w:rPr>
                <w:rFonts w:ascii="Arial Hebrew" w:hAnsi="Arial Hebrew" w:cs="Arial Hebrew" w:hint="cs"/>
              </w:rPr>
              <w:t xml:space="preserve"> </w:t>
            </w:r>
            <w:r w:rsidRPr="002C25D6">
              <w:rPr>
                <w:rFonts w:ascii="Calibri" w:eastAsia="Calibri" w:hAnsi="Calibri" w:cs="Calibri"/>
              </w:rPr>
              <w:t>prístupu</w:t>
            </w:r>
            <w:r w:rsidRPr="002C25D6">
              <w:rPr>
                <w:rFonts w:ascii="Arial Hebrew" w:hAnsi="Arial Hebrew" w:cs="Arial Hebrew" w:hint="cs"/>
              </w:rPr>
              <w:t xml:space="preserve"> </w:t>
            </w:r>
            <w:r w:rsidRPr="002C25D6">
              <w:rPr>
                <w:rFonts w:ascii="Calibri" w:eastAsia="Calibri" w:hAnsi="Calibri" w:cs="Calibri"/>
              </w:rPr>
              <w:t>k</w:t>
            </w:r>
            <w:r w:rsidRPr="002C25D6">
              <w:rPr>
                <w:rFonts w:ascii="Arial Hebrew" w:hAnsi="Arial Hebrew" w:cs="Arial Hebrew" w:hint="cs"/>
              </w:rPr>
              <w:t> </w:t>
            </w:r>
            <w:r w:rsidRPr="002C25D6">
              <w:rPr>
                <w:rFonts w:ascii="Calibri" w:eastAsia="Calibri" w:hAnsi="Calibri" w:cs="Calibri"/>
              </w:rPr>
              <w:t>zdravotne</w:t>
            </w:r>
            <w:r w:rsidRPr="002C25D6">
              <w:rPr>
                <w:rFonts w:ascii="Arial Hebrew" w:hAnsi="Arial Hebrew" w:cs="Arial Hebrew" w:hint="cs"/>
              </w:rPr>
              <w:t xml:space="preserve"> </w:t>
            </w:r>
            <w:r w:rsidRPr="002C25D6">
              <w:rPr>
                <w:rFonts w:ascii="Calibri" w:eastAsia="Calibri" w:hAnsi="Calibri" w:cs="Calibri"/>
              </w:rPr>
              <w:t>nezávadnej</w:t>
            </w:r>
            <w:r w:rsidRPr="002C25D6">
              <w:rPr>
                <w:rFonts w:ascii="Arial Hebrew" w:hAnsi="Arial Hebrew" w:cs="Arial Hebrew" w:hint="cs"/>
              </w:rPr>
              <w:t xml:space="preserve"> </w:t>
            </w:r>
            <w:r w:rsidRPr="002C25D6">
              <w:rPr>
                <w:rFonts w:ascii="Calibri" w:eastAsia="Calibri" w:hAnsi="Calibri" w:cs="Calibri"/>
              </w:rPr>
              <w:t>vode</w:t>
            </w:r>
            <w:r w:rsidRPr="002C25D6">
              <w:rPr>
                <w:rFonts w:ascii="Arial Hebrew" w:hAnsi="Arial Hebrew" w:cs="Arial Hebrew" w:hint="cs"/>
              </w:rPr>
              <w:t xml:space="preserve"> </w:t>
            </w:r>
            <w:r w:rsidRPr="002C25D6">
              <w:rPr>
                <w:rFonts w:ascii="Calibri" w:eastAsia="Calibri" w:hAnsi="Calibri" w:cs="Calibri"/>
              </w:rPr>
              <w:t>pre</w:t>
            </w:r>
            <w:r w:rsidRPr="002C25D6">
              <w:rPr>
                <w:rFonts w:ascii="Arial Hebrew" w:hAnsi="Arial Hebrew" w:cs="Arial Hebrew" w:hint="cs"/>
              </w:rPr>
              <w:t xml:space="preserve"> </w:t>
            </w:r>
            <w:r w:rsidRPr="002C25D6">
              <w:rPr>
                <w:rFonts w:ascii="Calibri" w:eastAsia="Calibri" w:hAnsi="Calibri" w:cs="Calibri"/>
              </w:rPr>
              <w:t>všetkých</w:t>
            </w:r>
            <w:r w:rsidR="006E2E8C">
              <w:rPr>
                <w:rFonts w:ascii="Calibri" w:eastAsia="Calibri" w:hAnsi="Calibri" w:cs="Calibri"/>
              </w:rPr>
              <w:t>.</w:t>
            </w:r>
            <w:r w:rsidRPr="002C25D6">
              <w:rPr>
                <w:rFonts w:ascii="Arial Hebrew" w:hAnsi="Arial Hebrew" w:cs="Arial Hebrew" w:hint="cs"/>
              </w:rPr>
              <w:t xml:space="preserve"> </w:t>
            </w:r>
          </w:p>
          <w:p w14:paraId="6FA51BF5" w14:textId="0B815D50" w:rsidR="00B85B89" w:rsidRPr="002C25D6" w:rsidRDefault="00B85B89" w:rsidP="002C25D6">
            <w:pPr>
              <w:pStyle w:val="Tabuka"/>
              <w:numPr>
                <w:ilvl w:val="0"/>
                <w:numId w:val="31"/>
              </w:numPr>
              <w:contextualSpacing w:val="0"/>
              <w:rPr>
                <w:rFonts w:ascii="Arial Hebrew" w:hAnsi="Arial Hebrew" w:cs="Arial Hebrew"/>
              </w:rPr>
            </w:pPr>
            <w:r w:rsidRPr="002C25D6">
              <w:rPr>
                <w:rFonts w:ascii="Calibri" w:eastAsia="Calibri" w:hAnsi="Calibri" w:cs="Calibri"/>
              </w:rPr>
              <w:t>Zabránenie</w:t>
            </w:r>
            <w:r w:rsidRPr="002C25D6">
              <w:rPr>
                <w:rFonts w:ascii="Arial Hebrew" w:hAnsi="Arial Hebrew" w:cs="Arial Hebrew" w:hint="cs"/>
              </w:rPr>
              <w:t xml:space="preserve"> </w:t>
            </w:r>
            <w:r w:rsidRPr="002C25D6">
              <w:rPr>
                <w:rFonts w:ascii="Calibri" w:eastAsia="Calibri" w:hAnsi="Calibri" w:cs="Calibri"/>
              </w:rPr>
              <w:t>inštitucionálnej</w:t>
            </w:r>
            <w:r w:rsidRPr="002C25D6">
              <w:rPr>
                <w:rFonts w:ascii="Arial Hebrew" w:hAnsi="Arial Hebrew" w:cs="Arial Hebrew" w:hint="cs"/>
              </w:rPr>
              <w:t xml:space="preserve"> </w:t>
            </w:r>
            <w:r w:rsidRPr="002C25D6">
              <w:rPr>
                <w:rFonts w:ascii="Calibri" w:eastAsia="Calibri" w:hAnsi="Calibri" w:cs="Calibri"/>
              </w:rPr>
              <w:t>diskriminácii</w:t>
            </w:r>
            <w:r w:rsidRPr="002C25D6">
              <w:rPr>
                <w:rFonts w:ascii="Arial Hebrew" w:hAnsi="Arial Hebrew" w:cs="Arial Hebrew" w:hint="cs"/>
              </w:rPr>
              <w:t xml:space="preserve"> </w:t>
            </w:r>
            <w:r w:rsidRPr="002C25D6">
              <w:rPr>
                <w:rFonts w:ascii="Calibri" w:eastAsia="Calibri" w:hAnsi="Calibri" w:cs="Calibri"/>
              </w:rPr>
              <w:t>chudobných</w:t>
            </w:r>
            <w:r w:rsidRPr="002C25D6">
              <w:rPr>
                <w:rFonts w:ascii="Arial Hebrew" w:hAnsi="Arial Hebrew" w:cs="Arial Hebrew" w:hint="cs"/>
              </w:rPr>
              <w:t xml:space="preserve"> </w:t>
            </w:r>
            <w:r w:rsidRPr="002C25D6">
              <w:rPr>
                <w:rFonts w:ascii="Calibri" w:eastAsia="Calibri" w:hAnsi="Calibri" w:cs="Calibri"/>
              </w:rPr>
              <w:t>ľudí</w:t>
            </w:r>
            <w:r w:rsidRPr="002C25D6">
              <w:rPr>
                <w:rFonts w:ascii="Arial Hebrew" w:hAnsi="Arial Hebrew" w:cs="Arial Hebrew" w:hint="cs"/>
              </w:rPr>
              <w:t xml:space="preserve"> </w:t>
            </w:r>
            <w:r w:rsidRPr="002C25D6">
              <w:rPr>
                <w:rFonts w:ascii="Calibri" w:eastAsia="Calibri" w:hAnsi="Calibri" w:cs="Calibri"/>
              </w:rPr>
              <w:t>a</w:t>
            </w:r>
            <w:r w:rsidRPr="002C25D6">
              <w:rPr>
                <w:rFonts w:ascii="Arial Hebrew" w:hAnsi="Arial Hebrew" w:cs="Arial Hebrew" w:hint="cs"/>
              </w:rPr>
              <w:t> </w:t>
            </w:r>
            <w:r w:rsidRPr="002C25D6">
              <w:rPr>
                <w:rFonts w:ascii="Calibri" w:eastAsia="Calibri" w:hAnsi="Calibri" w:cs="Calibri"/>
              </w:rPr>
              <w:t>stigmatizovaných</w:t>
            </w:r>
            <w:r w:rsidRPr="002C25D6">
              <w:rPr>
                <w:rFonts w:ascii="Arial Hebrew" w:hAnsi="Arial Hebrew" w:cs="Arial Hebrew" w:hint="cs"/>
              </w:rPr>
              <w:t xml:space="preserve"> </w:t>
            </w:r>
            <w:r w:rsidRPr="002C25D6">
              <w:rPr>
                <w:rFonts w:ascii="Calibri" w:eastAsia="Calibri" w:hAnsi="Calibri" w:cs="Calibri"/>
              </w:rPr>
              <w:t>etnických</w:t>
            </w:r>
            <w:r w:rsidRPr="002C25D6">
              <w:rPr>
                <w:rFonts w:ascii="Arial Hebrew" w:hAnsi="Arial Hebrew" w:cs="Arial Hebrew" w:hint="cs"/>
              </w:rPr>
              <w:t xml:space="preserve"> </w:t>
            </w:r>
            <w:r w:rsidRPr="002C25D6">
              <w:rPr>
                <w:rFonts w:ascii="Calibri" w:eastAsia="Calibri" w:hAnsi="Calibri" w:cs="Calibri"/>
              </w:rPr>
              <w:t>menšín</w:t>
            </w:r>
            <w:r w:rsidRPr="002C25D6">
              <w:rPr>
                <w:rFonts w:ascii="Arial Hebrew" w:hAnsi="Arial Hebrew" w:cs="Arial Hebrew" w:hint="cs"/>
              </w:rPr>
              <w:t xml:space="preserve"> </w:t>
            </w:r>
            <w:r w:rsidRPr="002C25D6">
              <w:rPr>
                <w:rFonts w:ascii="Calibri" w:eastAsia="Calibri" w:hAnsi="Calibri" w:cs="Calibri"/>
              </w:rPr>
              <w:t>a</w:t>
            </w:r>
            <w:r w:rsidRPr="002C25D6">
              <w:rPr>
                <w:rFonts w:ascii="Arial Hebrew" w:hAnsi="Arial Hebrew" w:cs="Arial Hebrew" w:hint="cs"/>
              </w:rPr>
              <w:t xml:space="preserve"> </w:t>
            </w:r>
            <w:r w:rsidRPr="002C25D6">
              <w:rPr>
                <w:rFonts w:ascii="Calibri" w:eastAsia="Calibri" w:hAnsi="Calibri" w:cs="Calibri"/>
              </w:rPr>
              <w:t>zabezpečenie</w:t>
            </w:r>
            <w:r w:rsidRPr="002C25D6">
              <w:rPr>
                <w:rFonts w:ascii="Arial Hebrew" w:hAnsi="Arial Hebrew" w:cs="Arial Hebrew" w:hint="cs"/>
              </w:rPr>
              <w:t xml:space="preserve"> </w:t>
            </w:r>
            <w:r w:rsidRPr="002C25D6">
              <w:rPr>
                <w:rFonts w:ascii="Calibri" w:eastAsia="Calibri" w:hAnsi="Calibri" w:cs="Calibri"/>
              </w:rPr>
              <w:t>nediskriminačného</w:t>
            </w:r>
            <w:r w:rsidRPr="002C25D6">
              <w:rPr>
                <w:rFonts w:ascii="Arial Hebrew" w:hAnsi="Arial Hebrew" w:cs="Arial Hebrew" w:hint="cs"/>
              </w:rPr>
              <w:t xml:space="preserve"> </w:t>
            </w:r>
            <w:r w:rsidRPr="002C25D6">
              <w:rPr>
                <w:rFonts w:ascii="Calibri" w:eastAsia="Calibri" w:hAnsi="Calibri" w:cs="Calibri"/>
              </w:rPr>
              <w:t>prístupu</w:t>
            </w:r>
            <w:r w:rsidRPr="002C25D6">
              <w:rPr>
                <w:rFonts w:ascii="Arial Hebrew" w:hAnsi="Arial Hebrew" w:cs="Arial Hebrew" w:hint="cs"/>
              </w:rPr>
              <w:t xml:space="preserve"> </w:t>
            </w:r>
            <w:r w:rsidRPr="002C25D6">
              <w:rPr>
                <w:rFonts w:ascii="Calibri" w:eastAsia="Calibri" w:hAnsi="Calibri" w:cs="Calibri"/>
              </w:rPr>
              <w:t>k</w:t>
            </w:r>
            <w:r w:rsidRPr="002C25D6">
              <w:rPr>
                <w:rFonts w:ascii="Arial Hebrew" w:hAnsi="Arial Hebrew" w:cs="Arial Hebrew" w:hint="cs"/>
              </w:rPr>
              <w:t> </w:t>
            </w:r>
            <w:r w:rsidRPr="002C25D6">
              <w:rPr>
                <w:rFonts w:ascii="Calibri" w:eastAsia="Calibri" w:hAnsi="Calibri" w:cs="Calibri"/>
              </w:rPr>
              <w:t>sociálnym</w:t>
            </w:r>
            <w:r w:rsidRPr="002C25D6">
              <w:rPr>
                <w:rFonts w:ascii="Arial Hebrew" w:hAnsi="Arial Hebrew" w:cs="Arial Hebrew" w:hint="cs"/>
              </w:rPr>
              <w:t xml:space="preserve"> </w:t>
            </w:r>
            <w:r w:rsidRPr="002C25D6">
              <w:rPr>
                <w:rFonts w:ascii="Calibri" w:eastAsia="Calibri" w:hAnsi="Calibri" w:cs="Calibri"/>
              </w:rPr>
              <w:t>a</w:t>
            </w:r>
            <w:r w:rsidRPr="002C25D6">
              <w:rPr>
                <w:rFonts w:ascii="Arial Hebrew" w:hAnsi="Arial Hebrew" w:cs="Arial Hebrew" w:hint="cs"/>
              </w:rPr>
              <w:t> </w:t>
            </w:r>
            <w:r w:rsidRPr="002C25D6">
              <w:rPr>
                <w:rFonts w:ascii="Calibri" w:eastAsia="Calibri" w:hAnsi="Calibri" w:cs="Calibri"/>
              </w:rPr>
              <w:t>zdravotníckym</w:t>
            </w:r>
            <w:r w:rsidRPr="002C25D6">
              <w:rPr>
                <w:rFonts w:ascii="Arial Hebrew" w:hAnsi="Arial Hebrew" w:cs="Arial Hebrew" w:hint="cs"/>
              </w:rPr>
              <w:t xml:space="preserve"> </w:t>
            </w:r>
            <w:r w:rsidRPr="002C25D6">
              <w:rPr>
                <w:rFonts w:ascii="Calibri" w:eastAsia="Calibri" w:hAnsi="Calibri" w:cs="Calibri"/>
              </w:rPr>
              <w:t>službám</w:t>
            </w:r>
            <w:r w:rsidR="006E2E8C">
              <w:rPr>
                <w:rFonts w:ascii="Calibri" w:eastAsia="Calibri" w:hAnsi="Calibri" w:cs="Calibri"/>
              </w:rPr>
              <w:t>.</w:t>
            </w:r>
          </w:p>
          <w:p w14:paraId="2C2E79D8" w14:textId="0E3DA86A" w:rsidR="00B85B89" w:rsidRPr="002C25D6" w:rsidRDefault="006E2E8C" w:rsidP="006E2E8C">
            <w:pPr>
              <w:pStyle w:val="Tabuka"/>
              <w:numPr>
                <w:ilvl w:val="0"/>
                <w:numId w:val="31"/>
              </w:numPr>
              <w:contextualSpacing w:val="0"/>
              <w:rPr>
                <w:rFonts w:ascii="Arial Hebrew" w:hAnsi="Arial Hebrew" w:cs="Arial Hebrew"/>
              </w:rPr>
            </w:pPr>
            <w:r>
              <w:rPr>
                <w:rFonts w:ascii="Calibri" w:eastAsia="Calibri" w:hAnsi="Calibri" w:cs="Calibri"/>
                <w:bCs/>
                <w:lang w:eastAsia="en-GB"/>
              </w:rPr>
              <w:t>Vytvorenie i</w:t>
            </w:r>
            <w:r w:rsidR="00B85B89" w:rsidRPr="002C25D6">
              <w:rPr>
                <w:rFonts w:ascii="Calibri" w:eastAsia="Calibri" w:hAnsi="Calibri" w:cs="Calibri"/>
                <w:bCs/>
                <w:lang w:eastAsia="en-GB"/>
              </w:rPr>
              <w:t>nštitucionáln</w:t>
            </w:r>
            <w:r>
              <w:rPr>
                <w:rFonts w:ascii="Calibri" w:eastAsia="Calibri" w:hAnsi="Calibri" w:cs="Calibri"/>
                <w:bCs/>
                <w:lang w:eastAsia="en-GB"/>
              </w:rPr>
              <w:t>eho</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rámc</w:t>
            </w:r>
            <w:r>
              <w:rPr>
                <w:rFonts w:ascii="Calibri" w:eastAsia="Calibri" w:hAnsi="Calibri" w:cs="Calibri"/>
                <w:bCs/>
                <w:lang w:eastAsia="en-GB"/>
              </w:rPr>
              <w:t>a</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pre</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spravodlivé</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prerozdeľovanie</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disponibilných</w:t>
            </w:r>
            <w:r w:rsidR="00B85B89" w:rsidRPr="002C25D6">
              <w:rPr>
                <w:rFonts w:ascii="Arial Hebrew" w:hAnsi="Arial Hebrew" w:cs="Arial Hebrew" w:hint="cs"/>
                <w:bCs/>
                <w:lang w:eastAsia="en-GB"/>
              </w:rPr>
              <w:t xml:space="preserve"> </w:t>
            </w:r>
            <w:r w:rsidR="00B85B89" w:rsidRPr="002C25D6">
              <w:rPr>
                <w:rFonts w:ascii="Calibri" w:eastAsia="Calibri" w:hAnsi="Calibri" w:cs="Calibri"/>
                <w:bCs/>
                <w:lang w:eastAsia="en-GB"/>
              </w:rPr>
              <w:t>zdrojov</w:t>
            </w:r>
            <w:r>
              <w:rPr>
                <w:rFonts w:ascii="Calibri" w:eastAsia="Calibri" w:hAnsi="Calibri" w:cs="Calibri"/>
                <w:bCs/>
                <w:lang w:eastAsia="en-GB"/>
              </w:rPr>
              <w:t>.</w:t>
            </w:r>
          </w:p>
        </w:tc>
      </w:tr>
    </w:tbl>
    <w:p w14:paraId="7AE58DFF" w14:textId="652DC23D" w:rsidR="007B656D" w:rsidRDefault="007B656D">
      <w:pPr>
        <w:spacing w:after="0"/>
        <w:jc w:val="left"/>
        <w:sectPr w:rsidR="007B656D" w:rsidSect="002C25D6">
          <w:pgSz w:w="16840" w:h="11900" w:orient="landscape"/>
          <w:pgMar w:top="1247" w:right="1247" w:bottom="1247" w:left="1247" w:header="709" w:footer="709" w:gutter="0"/>
          <w:cols w:space="708"/>
          <w:docGrid w:linePitch="360"/>
        </w:sectPr>
      </w:pPr>
    </w:p>
    <w:p w14:paraId="6D4964C1" w14:textId="4BB7BFAF" w:rsidR="00EC7205" w:rsidRDefault="006E0994" w:rsidP="00EC7205">
      <w:pPr>
        <w:pStyle w:val="Nadpis1"/>
      </w:pPr>
      <w:bookmarkStart w:id="3" w:name="_Toc500705985"/>
      <w:r>
        <w:lastRenderedPageBreak/>
        <w:t>Z</w:t>
      </w:r>
      <w:r w:rsidR="00EC7205">
        <w:t>áber a metodika analytického materiálu</w:t>
      </w:r>
      <w:bookmarkEnd w:id="3"/>
    </w:p>
    <w:p w14:paraId="26E16881" w14:textId="41821B0D" w:rsidR="00EE3FEA" w:rsidRDefault="00EC7205" w:rsidP="00EE3FEA">
      <w:r>
        <w:t xml:space="preserve">Pri mapovaní východísk prípravy </w:t>
      </w:r>
      <w:r w:rsidR="00025D67">
        <w:t xml:space="preserve">národných priorít implementácie </w:t>
      </w:r>
      <w:r>
        <w:t>Agend</w:t>
      </w:r>
      <w:r w:rsidR="00025D67">
        <w:t>y</w:t>
      </w:r>
      <w:r>
        <w:t xml:space="preserve"> 2030 vychádzame z definovaných cieľov</w:t>
      </w:r>
      <w:r w:rsidR="00025D67">
        <w:t xml:space="preserve"> udržateľného rozvoja</w:t>
      </w:r>
      <w:r>
        <w:t xml:space="preserve"> OSN (Sustainable Development Goals, SDG</w:t>
      </w:r>
      <w:r w:rsidR="00025D67">
        <w:t>s</w:t>
      </w:r>
      <w:r>
        <w:t xml:space="preserve">), globálnych výziev definovaných medzinárodnými organizáciami </w:t>
      </w:r>
      <w:r w:rsidRPr="00027B89">
        <w:t>a</w:t>
      </w:r>
      <w:r w:rsidR="00027B89" w:rsidRPr="00027B89">
        <w:t xml:space="preserve"> dlhodobými </w:t>
      </w:r>
      <w:r w:rsidRPr="00027B89">
        <w:t>strat</w:t>
      </w:r>
      <w:r w:rsidR="00027B89" w:rsidRPr="00E6350E">
        <w:t>é</w:t>
      </w:r>
      <w:r w:rsidRPr="00027B89">
        <w:t>gi</w:t>
      </w:r>
      <w:r w:rsidR="00027B89" w:rsidRPr="00E6350E">
        <w:t>ami</w:t>
      </w:r>
      <w:r w:rsidRPr="00027B89">
        <w:t xml:space="preserve"> Slovenskej republiky.</w:t>
      </w:r>
      <w:r>
        <w:t xml:space="preserve"> Globálna Agenda 2030 </w:t>
      </w:r>
      <w:r w:rsidR="00025D67">
        <w:t xml:space="preserve">pre udržateľný rozvoj </w:t>
      </w:r>
      <w:r>
        <w:t xml:space="preserve">stojí na </w:t>
      </w:r>
      <w:r w:rsidRPr="00B02FEE">
        <w:t>3 p</w:t>
      </w:r>
      <w:r>
        <w:t>ilieroch</w:t>
      </w:r>
      <w:r w:rsidRPr="00B02FEE">
        <w:t xml:space="preserve"> ekonomick</w:t>
      </w:r>
      <w:r w:rsidR="00025D67">
        <w:t>ej,</w:t>
      </w:r>
      <w:r w:rsidRPr="00B02FEE">
        <w:t xml:space="preserve"> sociálne</w:t>
      </w:r>
      <w:r w:rsidR="00025D67">
        <w:t>j a</w:t>
      </w:r>
      <w:r>
        <w:t xml:space="preserve"> </w:t>
      </w:r>
      <w:r w:rsidR="00025D67">
        <w:t>environmentálnej</w:t>
      </w:r>
      <w:r w:rsidR="00025D67" w:rsidRPr="00B02FEE">
        <w:t xml:space="preserve"> </w:t>
      </w:r>
      <w:r w:rsidRPr="00B02FEE">
        <w:t>udržateľn</w:t>
      </w:r>
      <w:r w:rsidR="00025D67">
        <w:t>osti</w:t>
      </w:r>
      <w:r w:rsidRPr="00B02FEE">
        <w:t xml:space="preserve">. V zhode </w:t>
      </w:r>
      <w:r w:rsidR="00EE3FEA">
        <w:t>s princípom koherencie politík pre udržateľný rozvoj</w:t>
      </w:r>
      <w:r>
        <w:t xml:space="preserve"> </w:t>
      </w:r>
      <w:r w:rsidRPr="00B02FEE">
        <w:t xml:space="preserve">by politické rozhodnutia mali </w:t>
      </w:r>
      <w:r w:rsidR="00EE3FEA">
        <w:t>podporovať synergie medzi</w:t>
      </w:r>
      <w:r w:rsidRPr="00B02FEE">
        <w:t xml:space="preserve"> krátkodob</w:t>
      </w:r>
      <w:r w:rsidR="00EE3FEA">
        <w:t>ými</w:t>
      </w:r>
      <w:r w:rsidRPr="00B02FEE">
        <w:t>, a</w:t>
      </w:r>
      <w:r w:rsidR="00EE3FEA">
        <w:t>ko</w:t>
      </w:r>
      <w:r w:rsidRPr="00B02FEE">
        <w:t xml:space="preserve"> aj dlhodob</w:t>
      </w:r>
      <w:r w:rsidR="00EE3FEA">
        <w:t>ými</w:t>
      </w:r>
      <w:r w:rsidRPr="00B02FEE">
        <w:t xml:space="preserve"> ekonomick</w:t>
      </w:r>
      <w:r w:rsidR="00EE3FEA">
        <w:t>ými</w:t>
      </w:r>
      <w:r w:rsidRPr="00B02FEE">
        <w:t>, sociáln</w:t>
      </w:r>
      <w:r w:rsidR="00EE3FEA">
        <w:t>ymi</w:t>
      </w:r>
      <w:r w:rsidRPr="00B02FEE">
        <w:t xml:space="preserve"> a</w:t>
      </w:r>
      <w:r>
        <w:t> </w:t>
      </w:r>
      <w:r w:rsidRPr="00B02FEE">
        <w:t>environmentáln</w:t>
      </w:r>
      <w:r w:rsidR="00EE3FEA">
        <w:t>ymi</w:t>
      </w:r>
      <w:r>
        <w:t xml:space="preserve"> cie</w:t>
      </w:r>
      <w:r w:rsidR="00EE3FEA">
        <w:t>ľmi</w:t>
      </w:r>
      <w:r>
        <w:t xml:space="preserve">. </w:t>
      </w:r>
      <w:r w:rsidR="00826F69">
        <w:t>S</w:t>
      </w:r>
      <w:r w:rsidR="00826F69" w:rsidRPr="00826F69">
        <w:t>ynergie je potrebné nachádzať aj medzi internou a externou dimenziou udržateľného rozvoja, pričom je kľúčové brať ohľad na vplyv domácich politík a rozhodnutí na globálne prostredie.</w:t>
      </w:r>
    </w:p>
    <w:p w14:paraId="33AB3215" w14:textId="0EAEC5BD" w:rsidR="00EC7205" w:rsidRDefault="00EC7205" w:rsidP="00EE3FEA">
      <w:r>
        <w:t xml:space="preserve">17 cieľov </w:t>
      </w:r>
      <w:r w:rsidR="00075376">
        <w:t xml:space="preserve">udržateľného rozvoja </w:t>
      </w:r>
      <w:r>
        <w:t>je definovaných pre všetky krajiny sveta</w:t>
      </w:r>
      <w:r>
        <w:rPr>
          <w:rStyle w:val="Znakapoznpodarou"/>
        </w:rPr>
        <w:footnoteReference w:id="1"/>
      </w:r>
      <w:r>
        <w:t xml:space="preserve">. Niektoré z týchto cieľov sú </w:t>
      </w:r>
      <w:r w:rsidR="00025D67">
        <w:t xml:space="preserve">namierené </w:t>
      </w:r>
      <w:r>
        <w:t xml:space="preserve">najmä </w:t>
      </w:r>
      <w:r w:rsidR="00025D67">
        <w:t>na</w:t>
      </w:r>
      <w:r>
        <w:t xml:space="preserve"> chudobné krajiny. Na druhej strane </w:t>
      </w:r>
      <w:r w:rsidR="00025D67">
        <w:t>sú medzi nimi aj ciele</w:t>
      </w:r>
      <w:r>
        <w:t xml:space="preserve"> relevantné pre vyspelé krajiny, ktoré však nie sú </w:t>
      </w:r>
      <w:r w:rsidR="00025D67">
        <w:t xml:space="preserve">v plnej miere </w:t>
      </w:r>
      <w:r>
        <w:t xml:space="preserve">rozpracované v 17 cieľoch </w:t>
      </w:r>
      <w:r w:rsidR="00075376">
        <w:t xml:space="preserve">udržateľného rozvoja </w:t>
      </w:r>
      <w:r>
        <w:t>(</w:t>
      </w:r>
      <w:r w:rsidR="00EE3FEA">
        <w:t xml:space="preserve">chýba </w:t>
      </w:r>
      <w:r>
        <w:t xml:space="preserve">napríklad </w:t>
      </w:r>
      <w:r w:rsidR="00EE3FEA">
        <w:t xml:space="preserve">problematika </w:t>
      </w:r>
      <w:r>
        <w:t>starnuti</w:t>
      </w:r>
      <w:r w:rsidR="00EE3FEA">
        <w:t>a</w:t>
      </w:r>
      <w:r>
        <w:t xml:space="preserve"> populácie). Preto boli pri mapovaní východísk prípravy </w:t>
      </w:r>
      <w:r w:rsidR="00025D67">
        <w:t xml:space="preserve">národných priorít implementácie </w:t>
      </w:r>
      <w:r>
        <w:t>Agend</w:t>
      </w:r>
      <w:r w:rsidR="00025D67">
        <w:t>y</w:t>
      </w:r>
      <w:r>
        <w:t xml:space="preserve"> 2030 brané do úvahy aj globálne výzvy, ako ich definuje Svetové ekonomické fórum</w:t>
      </w:r>
      <w:r>
        <w:rPr>
          <w:rStyle w:val="Znakapoznpodarou"/>
        </w:rPr>
        <w:footnoteReference w:id="2"/>
      </w:r>
      <w:r w:rsidR="00DD293B">
        <w:t xml:space="preserve"> a tiež výzvy identifikované Inštitútom finančnej politiky</w:t>
      </w:r>
      <w:r w:rsidR="00DD293B">
        <w:rPr>
          <w:rStyle w:val="Znakapoznpodarou"/>
        </w:rPr>
        <w:footnoteReference w:id="3"/>
      </w:r>
      <w:r w:rsidR="00DD293B">
        <w:t>.</w:t>
      </w:r>
    </w:p>
    <w:p w14:paraId="3EC54C5E" w14:textId="34C161BA" w:rsidR="00EC7205" w:rsidRDefault="00EC7205" w:rsidP="009F0794">
      <w:r>
        <w:t xml:space="preserve">Veľký počet globálnych cieľov a výziev sťažuje ich prioritizáciu. Slovenská republika ako malá ekonomika nemá dostatok zdrojov na rovnocenné </w:t>
      </w:r>
      <w:r w:rsidR="004A5D36">
        <w:t xml:space="preserve">pokrytie všetkých globálnych cieľov a výziev. Je nutné urobiť prioritizáciu z hľadiska (1) relevantnosti a naliehavosti problémov a výziev, a (2) schopnosti Slovenska ovplyvniť priemet globálnych megatrendov na národnej úrovni. Za účelom prioritizácie cieľov a výziev bol vytvorený dotazník, na ktorom participanti hodnotili význam 17 + 10 tém pre SR a kapacitu Slovenska tieto témy ovplyvniť. Prioritizácia bola založená na participatívnom procese a zúčastnili sa jej experti z analytických útvarov ústredných orgánov štátnej správy a pracovníci Slovenskej akadémie vied. Výstupy </w:t>
      </w:r>
      <w:r w:rsidR="004A5D36">
        <w:lastRenderedPageBreak/>
        <w:t>z prioritizície boli použité pre agreg</w:t>
      </w:r>
      <w:r w:rsidR="005F45C1">
        <w:t>ovanie</w:t>
      </w:r>
      <w:r w:rsidR="004A5D36">
        <w:t xml:space="preserve"> 17 + 10 cieľov a výziev do piatich hlavných tém </w:t>
      </w:r>
      <w:r w:rsidR="00025D67">
        <w:t xml:space="preserve">implementácie </w:t>
      </w:r>
      <w:r w:rsidR="004A5D36">
        <w:t>Agendy 2030</w:t>
      </w:r>
      <w:r w:rsidR="00025D67">
        <w:t xml:space="preserve"> v kontexte SR</w:t>
      </w:r>
      <w:r w:rsidR="004A5D36">
        <w:t>.</w:t>
      </w:r>
    </w:p>
    <w:p w14:paraId="14EDB969" w14:textId="2507EA1A" w:rsidR="008553A9" w:rsidRDefault="00A92592">
      <w:pPr>
        <w:spacing w:after="0"/>
        <w:jc w:val="left"/>
      </w:pPr>
      <w:r w:rsidRPr="00A92592">
        <w:rPr>
          <w:noProof/>
          <w:lang w:val="cs-CZ" w:eastAsia="cs-CZ"/>
        </w:rPr>
        <w:drawing>
          <wp:inline distT="0" distB="0" distL="0" distR="0" wp14:anchorId="29F2CFB7" wp14:editId="3FA08442">
            <wp:extent cx="5727700" cy="2797420"/>
            <wp:effectExtent l="0" t="0" r="6350" b="3175"/>
            <wp:docPr id="18" name="Obrázok 18" descr="C:\Users\bankoova\Desktop\SA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koova\Desktop\SAV.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27700" cy="2797420"/>
                    </a:xfrm>
                    <a:prstGeom prst="rect">
                      <a:avLst/>
                    </a:prstGeom>
                    <a:noFill/>
                    <a:ln>
                      <a:noFill/>
                    </a:ln>
                  </pic:spPr>
                </pic:pic>
              </a:graphicData>
            </a:graphic>
          </wp:inline>
        </w:drawing>
      </w:r>
    </w:p>
    <w:p w14:paraId="392C7620" w14:textId="77777777" w:rsidR="00AD555E" w:rsidRDefault="00AD555E" w:rsidP="006E09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7BE83855" w14:textId="4CFD08B7" w:rsidR="00AD555E" w:rsidRPr="00AC78DF" w:rsidRDefault="00F3507B" w:rsidP="00AD555E">
      <w:pPr>
        <w:spacing w:after="0"/>
        <w:jc w:val="left"/>
        <w:rPr>
          <w:rFonts w:ascii="Cambria" w:hAnsi="Cambria"/>
          <w:b/>
          <w:color w:val="1F4E79" w:themeColor="accent5" w:themeShade="80"/>
        </w:rPr>
      </w:pPr>
      <w:r w:rsidRPr="00AC78DF">
        <w:rPr>
          <w:rFonts w:ascii="Cambria" w:hAnsi="Cambria"/>
          <w:b/>
          <w:color w:val="1F4E79" w:themeColor="accent5" w:themeShade="80"/>
        </w:rPr>
        <w:t>Metodika prístupu založená na prierezov</w:t>
      </w:r>
      <w:r w:rsidR="00332AC6" w:rsidRPr="00AC78DF">
        <w:rPr>
          <w:rFonts w:ascii="Cambria" w:hAnsi="Cambria"/>
          <w:b/>
          <w:color w:val="1F4E79" w:themeColor="accent5" w:themeShade="80"/>
        </w:rPr>
        <w:t>ej</w:t>
      </w:r>
      <w:r w:rsidRPr="00AC78DF">
        <w:rPr>
          <w:rFonts w:ascii="Cambria" w:hAnsi="Cambria"/>
          <w:b/>
          <w:color w:val="1F4E79" w:themeColor="accent5" w:themeShade="80"/>
        </w:rPr>
        <w:t xml:space="preserve"> priorite</w:t>
      </w:r>
      <w:r w:rsidR="00AD555E" w:rsidRPr="00AC78DF">
        <w:rPr>
          <w:rFonts w:ascii="Cambria" w:hAnsi="Cambria"/>
          <w:b/>
          <w:color w:val="1F4E79" w:themeColor="accent5" w:themeShade="80"/>
        </w:rPr>
        <w:t xml:space="preserve"> </w:t>
      </w:r>
      <w:r w:rsidR="002C25D6" w:rsidRPr="00AC78DF">
        <w:rPr>
          <w:rFonts w:ascii="Cambria" w:hAnsi="Cambria"/>
          <w:b/>
          <w:color w:val="1F4E79" w:themeColor="accent5" w:themeShade="80"/>
        </w:rPr>
        <w:t>–</w:t>
      </w:r>
      <w:r w:rsidR="00AD555E" w:rsidRPr="00AC78DF">
        <w:rPr>
          <w:rFonts w:ascii="Cambria" w:hAnsi="Cambria"/>
          <w:b/>
          <w:color w:val="1F4E79" w:themeColor="accent5" w:themeShade="80"/>
        </w:rPr>
        <w:t xml:space="preserve"> partnerstv</w:t>
      </w:r>
      <w:r w:rsidR="002C25D6" w:rsidRPr="00AC78DF">
        <w:rPr>
          <w:rFonts w:ascii="Cambria" w:hAnsi="Cambria"/>
          <w:b/>
          <w:color w:val="1F4E79" w:themeColor="accent5" w:themeShade="80"/>
        </w:rPr>
        <w:t>á za</w:t>
      </w:r>
      <w:r w:rsidR="00AD555E" w:rsidRPr="00AC78DF">
        <w:rPr>
          <w:rFonts w:ascii="Cambria" w:hAnsi="Cambria"/>
          <w:b/>
          <w:color w:val="1F4E79" w:themeColor="accent5" w:themeShade="80"/>
        </w:rPr>
        <w:t xml:space="preserve"> cie</w:t>
      </w:r>
      <w:r w:rsidR="002C25D6" w:rsidRPr="00AC78DF">
        <w:rPr>
          <w:rFonts w:ascii="Cambria" w:hAnsi="Cambria"/>
          <w:b/>
          <w:color w:val="1F4E79" w:themeColor="accent5" w:themeShade="80"/>
        </w:rPr>
        <w:t>le</w:t>
      </w:r>
    </w:p>
    <w:p w14:paraId="16C60BF1" w14:textId="66730AC9" w:rsidR="00AD555E" w:rsidRPr="006E0994" w:rsidRDefault="000550B0" w:rsidP="00AD555E">
      <w:pPr>
        <w:spacing w:after="0"/>
        <w:jc w:val="left"/>
      </w:pPr>
      <w:r w:rsidRPr="000550B0">
        <w:rPr>
          <w:noProof/>
          <w:lang w:val="cs-CZ" w:eastAsia="cs-CZ"/>
        </w:rPr>
        <w:drawing>
          <wp:anchor distT="0" distB="0" distL="114300" distR="114300" simplePos="0" relativeHeight="251658240" behindDoc="0" locked="0" layoutInCell="1" allowOverlap="1" wp14:anchorId="4E94C7B4" wp14:editId="63A56DEA">
            <wp:simplePos x="0" y="0"/>
            <wp:positionH relativeFrom="margin">
              <wp:align>left</wp:align>
            </wp:positionH>
            <wp:positionV relativeFrom="paragraph">
              <wp:posOffset>175895</wp:posOffset>
            </wp:positionV>
            <wp:extent cx="1168400" cy="1168400"/>
            <wp:effectExtent l="0" t="0" r="0" b="0"/>
            <wp:wrapSquare wrapText="bothSides"/>
            <wp:docPr id="20" name="Obrázok 20" descr="F:\UPPVII\Agenda 2030\ikony-cielov\sdg17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PPVII\Agenda 2030\ikony-cielov\sdg17_sk.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8400" cy="116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E4CC1" w14:textId="329DAFEE" w:rsidR="00AD555E" w:rsidRPr="00F3507B" w:rsidRDefault="00AD555E" w:rsidP="00F3507B">
      <w:pPr>
        <w:spacing w:after="0"/>
      </w:pPr>
      <w:r w:rsidRPr="006E0994">
        <w:t xml:space="preserve">Prierezovou prioritou pre </w:t>
      </w:r>
      <w:r w:rsidR="00E56C74">
        <w:t xml:space="preserve">budúce </w:t>
      </w:r>
      <w:r w:rsidRPr="006E0994">
        <w:t xml:space="preserve">definovanie priorít a  </w:t>
      </w:r>
      <w:r w:rsidR="00E56C74">
        <w:t>cieľov pre</w:t>
      </w:r>
      <w:r w:rsidRPr="006E0994">
        <w:t xml:space="preserve"> </w:t>
      </w:r>
      <w:r w:rsidR="00332AC6">
        <w:t xml:space="preserve">doposiaľ </w:t>
      </w:r>
      <w:r w:rsidR="00E56C74">
        <w:t>identifikovaných</w:t>
      </w:r>
      <w:r w:rsidRPr="006E0994">
        <w:t xml:space="preserve"> 5 tém je princíp partnerstva. </w:t>
      </w:r>
      <w:r w:rsidR="00E56C74">
        <w:t>R</w:t>
      </w:r>
      <w:r w:rsidRPr="006E0994">
        <w:t xml:space="preserve">iešenie výziev a identifikovanie </w:t>
      </w:r>
      <w:r w:rsidR="00E56C74">
        <w:t xml:space="preserve">relevantných národných cieľov si vyžaduje </w:t>
      </w:r>
      <w:r w:rsidRPr="006E0994">
        <w:t xml:space="preserve">partnerstvo medzi vládou, regionálnou a lokálnou samosprávou, akademickým a súkromným sektorom a občianskou spoločnosťou. V kontexte Agendy 2030 a prípravy národných cieľov ide o  vytvorenie domáceho konsenzu o prioritách, cieľoch a spôsoboch </w:t>
      </w:r>
      <w:r w:rsidR="00F3507B">
        <w:t>ich dosahovania.</w:t>
      </w:r>
      <w:r w:rsidR="00F3507B">
        <w:rPr>
          <w:rStyle w:val="Znakapoznpodarou"/>
        </w:rPr>
        <w:footnoteReference w:id="4"/>
      </w:r>
      <w:r w:rsidR="00F3507B">
        <w:t xml:space="preserve"> </w:t>
      </w:r>
      <w:r w:rsidRPr="006E0994">
        <w:t>Partnerstvo pri príprave má vytvoriť priestor, kde sú ciele výsledkom diskusie a konsenzu pri identifikácii priorít a prístupov, založených na dôkladnej analýze problémov a kontexte politík. Participatívnym spôsobom definovaná agenda tak validuje definované ciele a zároveň posilňuje mobilizáciu domácich finančných a iných zdrojov pre realizáciu priorít</w:t>
      </w:r>
      <w:r w:rsidRPr="006E0994">
        <w:rPr>
          <w:sz w:val="22"/>
          <w:szCs w:val="22"/>
        </w:rPr>
        <w:t>.</w:t>
      </w:r>
    </w:p>
    <w:p w14:paraId="6520EA56" w14:textId="77777777" w:rsidR="00AD555E" w:rsidRPr="00AD555E" w:rsidRDefault="00AD555E" w:rsidP="00AD555E">
      <w:pPr>
        <w:spacing w:after="0"/>
        <w:rPr>
          <w:sz w:val="22"/>
          <w:szCs w:val="22"/>
        </w:rPr>
      </w:pPr>
    </w:p>
    <w:p w14:paraId="5750C37B" w14:textId="77777777" w:rsidR="0066741C" w:rsidRPr="0036487F" w:rsidRDefault="0066741C" w:rsidP="006674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36487F">
        <w:t xml:space="preserve">Konečným výstupom procesu by malo byť definovanie a odsúhlasenie konkrétnych cieľov reflektujúcich národné priority implementácie Agendy 2030,  ktoré môžeme rámcovo definovať podľa nasledujúcich charakteristík: </w:t>
      </w:r>
    </w:p>
    <w:p w14:paraId="5068339A" w14:textId="7DB69694" w:rsidR="0066741C" w:rsidRPr="0036487F" w:rsidRDefault="00D42286" w:rsidP="00D42286">
      <w:pPr>
        <w:pStyle w:val="Odstavecseseznamem"/>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b/>
        </w:rPr>
        <w:t>Špecifické</w:t>
      </w:r>
      <w:r w:rsidR="0066741C" w:rsidRPr="0036487F">
        <w:rPr>
          <w:b/>
        </w:rPr>
        <w:t xml:space="preserve"> (</w:t>
      </w:r>
      <w:proofErr w:type="spellStart"/>
      <w:r w:rsidR="0066741C" w:rsidRPr="0036487F">
        <w:rPr>
          <w:b/>
          <w:i/>
        </w:rPr>
        <w:t>S</w:t>
      </w:r>
      <w:r w:rsidR="0066741C" w:rsidRPr="0036487F">
        <w:rPr>
          <w:i/>
        </w:rPr>
        <w:t>pecific</w:t>
      </w:r>
      <w:proofErr w:type="spellEnd"/>
      <w:r w:rsidR="002C25D6">
        <w:rPr>
          <w:i/>
        </w:rPr>
        <w:t>)</w:t>
      </w:r>
      <w:r w:rsidR="0066741C" w:rsidRPr="0036487F">
        <w:rPr>
          <w:b/>
        </w:rPr>
        <w:t>:</w:t>
      </w:r>
      <w:r w:rsidR="0066741C" w:rsidRPr="0036487F">
        <w:t xml:space="preserve"> jednoducho definovateľné / významné</w:t>
      </w:r>
    </w:p>
    <w:p w14:paraId="489086B1" w14:textId="77777777" w:rsidR="0066741C" w:rsidRPr="0036487F" w:rsidRDefault="0066741C" w:rsidP="0066741C">
      <w:pPr>
        <w:pStyle w:val="Odstavecseseznamem"/>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36487F">
        <w:rPr>
          <w:b/>
        </w:rPr>
        <w:t>Merateľné (</w:t>
      </w:r>
      <w:r w:rsidRPr="0036487F">
        <w:rPr>
          <w:b/>
          <w:i/>
        </w:rPr>
        <w:t>M</w:t>
      </w:r>
      <w:r w:rsidRPr="0036487F">
        <w:rPr>
          <w:i/>
        </w:rPr>
        <w:t>easurable)</w:t>
      </w:r>
      <w:r w:rsidRPr="0036487F">
        <w:rPr>
          <w:b/>
        </w:rPr>
        <w:t>:</w:t>
      </w:r>
      <w:r w:rsidRPr="0036487F">
        <w:t xml:space="preserve"> zmysluplné / motivujúce</w:t>
      </w:r>
    </w:p>
    <w:p w14:paraId="6B8C15C8" w14:textId="77777777" w:rsidR="0066741C" w:rsidRPr="0036487F" w:rsidRDefault="0066741C" w:rsidP="0066741C">
      <w:pPr>
        <w:pStyle w:val="Odstavecseseznamem"/>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36487F">
        <w:rPr>
          <w:b/>
        </w:rPr>
        <w:t>Dosiahnuteľné (</w:t>
      </w:r>
      <w:r w:rsidRPr="0036487F">
        <w:rPr>
          <w:b/>
          <w:i/>
        </w:rPr>
        <w:t>A</w:t>
      </w:r>
      <w:r w:rsidRPr="0036487F">
        <w:rPr>
          <w:i/>
        </w:rPr>
        <w:t>chievable)</w:t>
      </w:r>
      <w:r w:rsidRPr="0036487F">
        <w:rPr>
          <w:b/>
        </w:rPr>
        <w:t>:</w:t>
      </w:r>
      <w:r w:rsidRPr="0036487F">
        <w:t xml:space="preserve">  dohodnuté / realistické</w:t>
      </w:r>
    </w:p>
    <w:p w14:paraId="782C7F8E" w14:textId="77777777" w:rsidR="0066741C" w:rsidRPr="0036487F" w:rsidRDefault="0066741C" w:rsidP="0066741C">
      <w:pPr>
        <w:pStyle w:val="Odstavecseseznamem"/>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36487F">
        <w:rPr>
          <w:b/>
        </w:rPr>
        <w:t>Relevantné (</w:t>
      </w:r>
      <w:r w:rsidRPr="0036487F">
        <w:rPr>
          <w:b/>
          <w:i/>
        </w:rPr>
        <w:t>R</w:t>
      </w:r>
      <w:r w:rsidRPr="0036487F">
        <w:rPr>
          <w:i/>
        </w:rPr>
        <w:t>elevant)</w:t>
      </w:r>
      <w:r w:rsidRPr="0036487F">
        <w:rPr>
          <w:b/>
        </w:rPr>
        <w:t>:</w:t>
      </w:r>
      <w:r w:rsidRPr="0036487F">
        <w:t xml:space="preserve">   zmysluplné / ukotvené v kontexte</w:t>
      </w:r>
    </w:p>
    <w:p w14:paraId="5E266BFC" w14:textId="77777777" w:rsidR="0066741C" w:rsidRPr="0036487F" w:rsidRDefault="0066741C" w:rsidP="0066741C">
      <w:pPr>
        <w:pStyle w:val="Odstavecseseznamem"/>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36487F">
        <w:rPr>
          <w:b/>
        </w:rPr>
        <w:t>Časovo ohraničené (</w:t>
      </w:r>
      <w:r w:rsidRPr="0036487F">
        <w:rPr>
          <w:b/>
          <w:i/>
        </w:rPr>
        <w:t>T</w:t>
      </w:r>
      <w:r w:rsidRPr="0036487F">
        <w:rPr>
          <w:i/>
        </w:rPr>
        <w:t>ime bound)</w:t>
      </w:r>
      <w:r w:rsidRPr="0036487F">
        <w:rPr>
          <w:b/>
        </w:rPr>
        <w:t>:</w:t>
      </w:r>
      <w:r w:rsidRPr="0036487F">
        <w:t xml:space="preserve">  definovateľné v čase</w:t>
      </w:r>
    </w:p>
    <w:p w14:paraId="03099710" w14:textId="77777777" w:rsidR="0066741C" w:rsidRPr="0036487F" w:rsidRDefault="0066741C" w:rsidP="0066741C">
      <w:pPr>
        <w:pStyle w:val="Odstavecsesezname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3C147638" w14:textId="6A7FFE25" w:rsidR="00E6350E" w:rsidRDefault="0066741C" w:rsidP="00A92592">
      <w:pPr>
        <w:spacing w:after="0"/>
        <w:rPr>
          <w:rFonts w:ascii="Cambria" w:eastAsiaTheme="majorEastAsia" w:hAnsi="Cambria"/>
          <w:b/>
          <w:bCs w:val="0"/>
          <w:color w:val="1F4E79" w:themeColor="accent5" w:themeShade="80"/>
          <w:sz w:val="40"/>
          <w:szCs w:val="40"/>
        </w:rPr>
      </w:pPr>
      <w:r w:rsidRPr="0036487F">
        <w:t xml:space="preserve">Samotná metodológia ako dospieť k definovaniu SMART cieľov bude postavená na niekoľkých štádiách, pričom si komplexnosť riešenej témy bude vyžaduje realizáciu veľkého množstva aktivít s využitím prognostických metód pri súčasnom zapojení </w:t>
      </w:r>
      <w:r w:rsidR="00A53133">
        <w:t xml:space="preserve">predstaviteľov </w:t>
      </w:r>
      <w:r w:rsidRPr="0036487F">
        <w:t>všetkých zainteresovaných aktérov v rámci participatívneho procesu.</w:t>
      </w:r>
      <w:r w:rsidRPr="006E0994">
        <w:t xml:space="preserve"> </w:t>
      </w:r>
      <w:r w:rsidR="00E6350E">
        <w:br w:type="page"/>
      </w:r>
    </w:p>
    <w:p w14:paraId="38268F34" w14:textId="32B74666" w:rsidR="009F0794" w:rsidRPr="007A6FC1" w:rsidRDefault="009F0794" w:rsidP="009B246F">
      <w:pPr>
        <w:pStyle w:val="Nadpis1"/>
      </w:pPr>
      <w:bookmarkStart w:id="4" w:name="_Toc500705986"/>
      <w:r w:rsidRPr="007A6FC1">
        <w:lastRenderedPageBreak/>
        <w:t>Časť 1: Megatrendy, výzvy a priority</w:t>
      </w:r>
      <w:bookmarkEnd w:id="4"/>
    </w:p>
    <w:p w14:paraId="46B28CF0" w14:textId="24DAC1C5" w:rsidR="00AB58EE" w:rsidRDefault="00AB58EE" w:rsidP="00A015C3"/>
    <w:p w14:paraId="5D0AF3D6" w14:textId="7A01F5C1" w:rsidR="004635B8" w:rsidRPr="007A6FC1" w:rsidRDefault="00A015C3" w:rsidP="009B246F">
      <w:pPr>
        <w:pStyle w:val="Nadpis2"/>
      </w:pPr>
      <w:bookmarkStart w:id="5" w:name="_Toc500705987"/>
      <w:r w:rsidRPr="007A6FC1">
        <w:t xml:space="preserve">Téma 1: </w:t>
      </w:r>
      <w:r w:rsidR="004635B8" w:rsidRPr="00715F57">
        <w:t>Udržateľný</w:t>
      </w:r>
      <w:r w:rsidR="004635B8" w:rsidRPr="007A6FC1">
        <w:t xml:space="preserve"> ekonomický rast pri starnúcej populácii a v meniacom sa globálnom prostredí</w:t>
      </w:r>
      <w:bookmarkEnd w:id="5"/>
    </w:p>
    <w:p w14:paraId="5E2614C6" w14:textId="77777777" w:rsidR="000B4924" w:rsidRPr="007A3E43" w:rsidRDefault="000B4924" w:rsidP="000B4924">
      <w:pPr>
        <w:jc w:val="center"/>
      </w:pPr>
      <w:r w:rsidRPr="007A3E43">
        <w:rPr>
          <w:noProof/>
          <w:lang w:val="cs-CZ" w:eastAsia="cs-CZ"/>
        </w:rPr>
        <w:drawing>
          <wp:inline distT="0" distB="0" distL="0" distR="0" wp14:anchorId="75F7E39E" wp14:editId="41E40F9F">
            <wp:extent cx="1260000" cy="1260000"/>
            <wp:effectExtent l="0" t="0" r="0" b="0"/>
            <wp:docPr id="5" name="Obrázok 5" descr="C:\Users\Vlado\Documents\SDG 8 dôstojná práca a ekonomický 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o\Documents\SDG 8 dôstojná práca a ekonomický ra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Pr>
          <w:noProof/>
          <w:lang w:eastAsia="sk-SK"/>
        </w:rPr>
        <w:t xml:space="preserve"> </w:t>
      </w:r>
      <w:r w:rsidRPr="007A3E43">
        <w:rPr>
          <w:noProof/>
          <w:lang w:val="cs-CZ" w:eastAsia="cs-CZ"/>
        </w:rPr>
        <w:drawing>
          <wp:inline distT="0" distB="0" distL="0" distR="0" wp14:anchorId="65381DE7" wp14:editId="34E00A46">
            <wp:extent cx="1249200" cy="1260000"/>
            <wp:effectExtent l="0" t="0" r="8255" b="0"/>
            <wp:docPr id="4" name="Obrázok 4" descr="C:\Users\Vlado\Documents\SDG 9 priemysel a inovác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do\Documents\SDG 9 priemysel a inováci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49200" cy="1260000"/>
                    </a:xfrm>
                    <a:prstGeom prst="rect">
                      <a:avLst/>
                    </a:prstGeom>
                    <a:noFill/>
                    <a:ln>
                      <a:noFill/>
                    </a:ln>
                  </pic:spPr>
                </pic:pic>
              </a:graphicData>
            </a:graphic>
          </wp:inline>
        </w:drawing>
      </w:r>
      <w:r>
        <w:rPr>
          <w:noProof/>
          <w:lang w:eastAsia="sk-SK"/>
        </w:rPr>
        <w:t xml:space="preserve"> </w:t>
      </w:r>
      <w:r w:rsidRPr="007A3E43">
        <w:rPr>
          <w:noProof/>
          <w:lang w:val="cs-CZ" w:eastAsia="cs-CZ"/>
        </w:rPr>
        <w:drawing>
          <wp:inline distT="0" distB="0" distL="0" distR="0" wp14:anchorId="11F6F3BA" wp14:editId="49F0E74F">
            <wp:extent cx="1260000" cy="1260000"/>
            <wp:effectExtent l="0" t="0" r="0" b="0"/>
            <wp:docPr id="7" name="Obrázok 7" descr="C:\Users\Vlado\Documents\SDG 10 zníženie nerovnost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o\Documents\SDG 10 zníženie nerovností.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Pr>
          <w:noProof/>
          <w:lang w:eastAsia="sk-SK"/>
        </w:rPr>
        <w:t xml:space="preserve"> </w:t>
      </w:r>
      <w:r w:rsidRPr="007A3E43">
        <w:rPr>
          <w:noProof/>
          <w:lang w:val="cs-CZ" w:eastAsia="cs-CZ"/>
        </w:rPr>
        <w:drawing>
          <wp:inline distT="0" distB="0" distL="0" distR="0" wp14:anchorId="39E69924" wp14:editId="5E8DD2F1">
            <wp:extent cx="1260000" cy="1260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60000" cy="1260000"/>
                    </a:xfrm>
                    <a:prstGeom prst="rect">
                      <a:avLst/>
                    </a:prstGeom>
                  </pic:spPr>
                </pic:pic>
              </a:graphicData>
            </a:graphic>
          </wp:inline>
        </w:drawing>
      </w:r>
    </w:p>
    <w:p w14:paraId="518DBB2A" w14:textId="24CD07F1" w:rsidR="004635B8" w:rsidRDefault="004635B8" w:rsidP="004635B8"/>
    <w:p w14:paraId="226CD8CC" w14:textId="2C5276F3" w:rsidR="000166D1" w:rsidRPr="007A6FC1" w:rsidRDefault="004635B8" w:rsidP="00715F57">
      <w:pPr>
        <w:pStyle w:val="Nadpis3"/>
      </w:pPr>
      <w:bookmarkStart w:id="6" w:name="_Toc500705988"/>
      <w:r w:rsidRPr="007A6FC1">
        <w:t>1 Globálne megatrendy</w:t>
      </w:r>
      <w:bookmarkEnd w:id="6"/>
    </w:p>
    <w:p w14:paraId="3652FCB5" w14:textId="723F2467" w:rsidR="007D6262" w:rsidRDefault="007D6262" w:rsidP="004635B8">
      <w:r>
        <w:t>Dominujúcimi trendmi v svetovej ekonomike sú (</w:t>
      </w:r>
      <w:r w:rsidR="00B468F4">
        <w:t>1</w:t>
      </w:r>
      <w:r>
        <w:t>) klesajúci podiel vyspelých krajín OECD a rastúci podiel Číny a iných rýchlo rastúcich ázijských ekonomík na svetovom hrubom domácom produkte</w:t>
      </w:r>
      <w:r w:rsidR="00132BE0">
        <w:rPr>
          <w:rStyle w:val="Znakapoznpodarou"/>
        </w:rPr>
        <w:footnoteReference w:id="5"/>
      </w:r>
      <w:r>
        <w:t>, (</w:t>
      </w:r>
      <w:r w:rsidR="00B468F4">
        <w:t>2</w:t>
      </w:r>
      <w:r>
        <w:t>) presun ekonomického centra z oblasti Atlantiku do oblasti Pacifiku, (</w:t>
      </w:r>
      <w:r w:rsidR="00B468F4">
        <w:t>3</w:t>
      </w:r>
      <w:r>
        <w:t>) demografická zmena prejavujúca sa v stagnácii až poklese populácie vo vyspelých krajinách a prudkom raste populácie v Afrike</w:t>
      </w:r>
      <w:r w:rsidR="008A507C">
        <w:rPr>
          <w:rStyle w:val="Znakapoznpodarou"/>
        </w:rPr>
        <w:footnoteReference w:id="6"/>
      </w:r>
      <w:r>
        <w:t>, (</w:t>
      </w:r>
      <w:r w:rsidR="00B468F4">
        <w:t>4</w:t>
      </w:r>
      <w:r>
        <w:t>) dominancia totálnej produktivity faktorov (TFP, technologických a organizačných inovácií) ako hlavného zdroja rastu vo vyspelých ekonomikách</w:t>
      </w:r>
      <w:r w:rsidR="00B468F4">
        <w:t xml:space="preserve">, (5) </w:t>
      </w:r>
      <w:r>
        <w:t>zmeny v</w:t>
      </w:r>
      <w:r w:rsidR="00A015C3">
        <w:t> </w:t>
      </w:r>
      <w:r>
        <w:t>odvetvovej</w:t>
      </w:r>
      <w:r w:rsidR="00A015C3">
        <w:t xml:space="preserve"> a technologickej</w:t>
      </w:r>
      <w:r>
        <w:t xml:space="preserve"> štruktúre vyspelých ekonomík prejavujúce sa v ústupe spracovateľského priemyslu</w:t>
      </w:r>
      <w:r w:rsidR="008A507C">
        <w:t xml:space="preserve"> a náraste významu služieb, </w:t>
      </w:r>
      <w:r>
        <w:t>v</w:t>
      </w:r>
      <w:r w:rsidR="00132BE0">
        <w:t>rátane digitálnej ekonomiky a robotiky</w:t>
      </w:r>
      <w:r w:rsidR="008A507C">
        <w:rPr>
          <w:rStyle w:val="Znakapoznpodarou"/>
        </w:rPr>
        <w:footnoteReference w:id="7"/>
      </w:r>
      <w:r w:rsidR="00332AC6">
        <w:rPr>
          <w:vertAlign w:val="superscript"/>
        </w:rPr>
        <w:t xml:space="preserve">, </w:t>
      </w:r>
      <w:r w:rsidR="008A507C">
        <w:rPr>
          <w:rStyle w:val="Znakapoznpodarou"/>
        </w:rPr>
        <w:footnoteReference w:id="8"/>
      </w:r>
      <w:r w:rsidR="00332AC6">
        <w:t xml:space="preserve"> a</w:t>
      </w:r>
      <w:r w:rsidR="00132BE0">
        <w:t xml:space="preserve"> </w:t>
      </w:r>
      <w:r w:rsidR="00A015C3">
        <w:t xml:space="preserve">(6) rýchla urbanizácia </w:t>
      </w:r>
      <w:r w:rsidR="00132BE0">
        <w:t xml:space="preserve">a rastúci dopyt po potravinách, vode a energiách </w:t>
      </w:r>
      <w:r w:rsidR="00A015C3">
        <w:t>v stredne a menej vyspelých krajinách sveta. Svetová ekonomika bude musieť</w:t>
      </w:r>
      <w:r w:rsidR="00437610">
        <w:t xml:space="preserve"> reagovať na hrozby, ale aj príležitosti, ktoré prinesú klimatická zmena</w:t>
      </w:r>
      <w:r w:rsidR="00B5210F">
        <w:rPr>
          <w:rStyle w:val="Znakapoznpodarou"/>
        </w:rPr>
        <w:footnoteReference w:id="9"/>
      </w:r>
      <w:r w:rsidR="00437610">
        <w:t xml:space="preserve"> a nárast migračných tokov</w:t>
      </w:r>
      <w:r w:rsidR="008A507C">
        <w:rPr>
          <w:rStyle w:val="Znakapoznpodarou"/>
        </w:rPr>
        <w:footnoteReference w:id="10"/>
      </w:r>
      <w:r w:rsidR="00437610">
        <w:t>.</w:t>
      </w:r>
    </w:p>
    <w:p w14:paraId="7B64650C" w14:textId="77777777" w:rsidR="00AC78DF" w:rsidRDefault="00AC78DF" w:rsidP="004635B8"/>
    <w:p w14:paraId="1E48D24F" w14:textId="72AA1839" w:rsidR="00555D1B" w:rsidRPr="00555D1B" w:rsidRDefault="004635B8" w:rsidP="00715F57">
      <w:pPr>
        <w:pStyle w:val="Nadpis3"/>
        <w:rPr>
          <w:bCs/>
        </w:rPr>
      </w:pPr>
      <w:bookmarkStart w:id="7" w:name="_Toc500705989"/>
      <w:r>
        <w:t>2 Pozícia Slovenska</w:t>
      </w:r>
      <w:bookmarkEnd w:id="7"/>
    </w:p>
    <w:p w14:paraId="744801A7" w14:textId="15C26353" w:rsidR="005C3916" w:rsidRDefault="000550B0" w:rsidP="00332AC6">
      <w:r>
        <w:t>V 90.</w:t>
      </w:r>
      <w:r w:rsidR="00B6415B">
        <w:t xml:space="preserve"> rokoch minulého storočia sa v SR presadil neoliberálny model ekonomického rastu založený na trhových reformách, nízkych mzdách a nízkych daniach. Tento model umožnil rýchlu integráciu SR do globálnej ekonomiky a podporil prílev priamych zahraničných investícii (PZI). Prílev PZI bol sprevádzaný masívnymi transfermi technológi</w:t>
      </w:r>
      <w:r w:rsidR="00332AC6">
        <w:t>í</w:t>
      </w:r>
      <w:r w:rsidR="00B6415B">
        <w:t xml:space="preserve"> a vysokým tempom rastu produktivity práce. V rokoch 2000</w:t>
      </w:r>
      <w:r>
        <w:t xml:space="preserve"> – </w:t>
      </w:r>
      <w:r w:rsidR="00B6415B">
        <w:t>2016 činilo priemerné ročné tempo rastu produktivity práce v SR 2,8</w:t>
      </w:r>
      <w:r>
        <w:t xml:space="preserve"> </w:t>
      </w:r>
      <w:r w:rsidR="00B6415B">
        <w:t>%, kým v</w:t>
      </w:r>
      <w:r>
        <w:t> </w:t>
      </w:r>
      <w:r w:rsidR="00B6415B">
        <w:t>EÚ</w:t>
      </w:r>
      <w:r>
        <w:t xml:space="preserve"> </w:t>
      </w:r>
      <w:r w:rsidR="00B6415B">
        <w:t>28 len 0,9</w:t>
      </w:r>
      <w:r>
        <w:t xml:space="preserve"> </w:t>
      </w:r>
      <w:r w:rsidR="00B6415B">
        <w:t xml:space="preserve">%. </w:t>
      </w:r>
      <w:r w:rsidR="001A1571">
        <w:t>Asi jednu polovicu nárastu produktivity práce zabezpečila c</w:t>
      </w:r>
      <w:r w:rsidR="001A1571" w:rsidRPr="003654D5">
        <w:t xml:space="preserve">elková produktivita faktorov </w:t>
      </w:r>
      <w:r w:rsidR="001A1571">
        <w:t xml:space="preserve">(TFP, technologické </w:t>
      </w:r>
      <w:r w:rsidR="001A1571">
        <w:lastRenderedPageBreak/>
        <w:t>a organizačné inovácie)</w:t>
      </w:r>
      <w:r w:rsidR="001A1571" w:rsidRPr="003654D5">
        <w:t xml:space="preserve">. </w:t>
      </w:r>
      <w:r w:rsidR="00B6415B">
        <w:t>Priemerný ročný rast HDP činil v SR 3,6</w:t>
      </w:r>
      <w:r>
        <w:t xml:space="preserve"> </w:t>
      </w:r>
      <w:r w:rsidR="00B6415B">
        <w:t>%, kým v EÚ28 len 0,8</w:t>
      </w:r>
      <w:r>
        <w:t xml:space="preserve"> </w:t>
      </w:r>
      <w:r w:rsidR="00B6415B">
        <w:t>%</w:t>
      </w:r>
      <w:r w:rsidR="00B6415B">
        <w:rPr>
          <w:rStyle w:val="Znakapoznpodarou"/>
        </w:rPr>
        <w:footnoteReference w:id="11"/>
      </w:r>
      <w:r w:rsidR="00B6415B">
        <w:t>. Neoliberálny model rastu však nie je demograficky neutrálny. Extenzívne zdroje rastu (prísun novej pracovnej sily a PZI) sa postupne vyčerpávajú.</w:t>
      </w:r>
      <w:r w:rsidR="001A1571">
        <w:t xml:space="preserve"> </w:t>
      </w:r>
      <w:r w:rsidR="006D388E">
        <w:t>Slovenská populácia bude jednou z najrýchle</w:t>
      </w:r>
      <w:r w:rsidR="00434297">
        <w:t>j</w:t>
      </w:r>
      <w:r w:rsidR="006D388E">
        <w:t xml:space="preserve">šie starnúcich v celej Európskej únii. V roku 2030 bude na jedného dôchodcu prispievať ešte 1,38 pracujúceho, v roku 2060 </w:t>
      </w:r>
      <w:r w:rsidR="00332AC6">
        <w:t xml:space="preserve">však </w:t>
      </w:r>
      <w:r w:rsidR="006D388E">
        <w:t xml:space="preserve">to bude už len 0,98 pracujúceho (Príloha 1, Tabuľka 1). </w:t>
      </w:r>
      <w:r w:rsidR="001A1571">
        <w:t>Slovensko bude stále viac čeliť nedostatku pracovnej sily.</w:t>
      </w:r>
      <w:r w:rsidR="00B6415B" w:rsidRPr="00B6415B">
        <w:t xml:space="preserve"> </w:t>
      </w:r>
      <w:r w:rsidR="001A1571">
        <w:t xml:space="preserve">Zníži </w:t>
      </w:r>
      <w:r w:rsidR="005C3916">
        <w:t xml:space="preserve">sa </w:t>
      </w:r>
      <w:r w:rsidR="001A1571">
        <w:t>počet obyvateľov v ekonomicky aktívnom veku (a tým prispievateľov do systému verejných financií) a zvýši tlak na financovanie sociálnych služieb štátu (najmä v zdravotnej a dôchodkovej oblasti</w:t>
      </w:r>
      <w:r w:rsidR="002972E1">
        <w:t>).</w:t>
      </w:r>
      <w:r w:rsidR="00C7646F" w:rsidRPr="00C7646F">
        <w:t xml:space="preserve"> </w:t>
      </w:r>
      <w:r w:rsidR="005C3916">
        <w:t>Slovensko v súčasnosti patrí ku krajinám s najnižšími príjmovými nerovnosťami</w:t>
      </w:r>
      <w:r w:rsidR="002514A6">
        <w:rPr>
          <w:rStyle w:val="Znakapoznpodarou"/>
        </w:rPr>
        <w:footnoteReference w:id="12"/>
      </w:r>
      <w:r w:rsidR="005C3916">
        <w:t>. Vysoké počty dôchodcov budú tlačiť na znižovanie miery náhrady mzdy dôchodkom</w:t>
      </w:r>
      <w:r w:rsidR="001060F9">
        <w:rPr>
          <w:rStyle w:val="Znakapoznpodarou"/>
        </w:rPr>
        <w:footnoteReference w:id="13"/>
      </w:r>
      <w:r w:rsidR="005C3916">
        <w:t xml:space="preserve">. Môže tak dôjsť k nárastu príjmových nerovností. </w:t>
      </w:r>
      <w:r w:rsidR="003C171D">
        <w:t>Vybudovanie výkonnej a konkurencieschopnej ekonomiky je základnou podmienkou pre udržanie sociálneho štátu a zabráneni</w:t>
      </w:r>
      <w:r w:rsidR="00332AC6">
        <w:t>e</w:t>
      </w:r>
      <w:r w:rsidR="003C171D">
        <w:t xml:space="preserve"> rastu príjmových nerovností.</w:t>
      </w:r>
      <w:r w:rsidR="001060F9">
        <w:t xml:space="preserve"> </w:t>
      </w:r>
    </w:p>
    <w:p w14:paraId="65D415E5" w14:textId="12D6841D" w:rsidR="00555D1B" w:rsidRDefault="006A61EB" w:rsidP="004635B8">
      <w:r>
        <w:t>Hlavn</w:t>
      </w:r>
      <w:r w:rsidR="00C7646F" w:rsidRPr="0017159B">
        <w:t>ým zdrojom rastu ekonomiky SR</w:t>
      </w:r>
      <w:r w:rsidR="00C7646F">
        <w:t xml:space="preserve"> v budúcnosti bude rast produktivity práce </w:t>
      </w:r>
      <w:r w:rsidR="00C7646F" w:rsidRPr="0017159B">
        <w:t>a</w:t>
      </w:r>
      <w:r w:rsidR="00C7646F">
        <w:t xml:space="preserve"> to</w:t>
      </w:r>
      <w:r w:rsidR="00C7646F" w:rsidRPr="0017159B">
        <w:t xml:space="preserve"> najmä </w:t>
      </w:r>
      <w:r w:rsidR="00C7646F">
        <w:t>TFP</w:t>
      </w:r>
      <w:r w:rsidR="006D388E">
        <w:t xml:space="preserve"> (Príloha 1, Tabuľka 2)</w:t>
      </w:r>
      <w:r w:rsidR="00C7646F">
        <w:t>.</w:t>
      </w:r>
      <w:r w:rsidR="00791E3B">
        <w:t xml:space="preserve"> Bilancia zdrojov rastu napovedá, </w:t>
      </w:r>
      <w:r w:rsidR="00791E3B" w:rsidRPr="00791E3B">
        <w:t>že d</w:t>
      </w:r>
      <w:r w:rsidR="001A1571" w:rsidRPr="00791E3B">
        <w:t xml:space="preserve">o roku 2060 až </w:t>
      </w:r>
      <w:r w:rsidR="005C3916">
        <w:t>75</w:t>
      </w:r>
      <w:r w:rsidR="000550B0">
        <w:t xml:space="preserve"> </w:t>
      </w:r>
      <w:r w:rsidR="001A1571" w:rsidRPr="00791E3B">
        <w:t xml:space="preserve">% celkového rastu HDP </w:t>
      </w:r>
      <w:r w:rsidR="00C7646F" w:rsidRPr="00791E3B">
        <w:t xml:space="preserve">na obyvateľa </w:t>
      </w:r>
      <w:r w:rsidR="001A1571" w:rsidRPr="00791E3B">
        <w:t>v SR musí zabezpečiť rast TFP</w:t>
      </w:r>
      <w:r w:rsidR="00C7646F" w:rsidRPr="00791E3B">
        <w:t xml:space="preserve">, </w:t>
      </w:r>
      <w:r w:rsidR="00791E3B" w:rsidRPr="00791E3B">
        <w:t xml:space="preserve">ďalších </w:t>
      </w:r>
      <w:r w:rsidR="005C3916">
        <w:t>25</w:t>
      </w:r>
      <w:r w:rsidR="000550B0">
        <w:t xml:space="preserve"> </w:t>
      </w:r>
      <w:r w:rsidR="00C7646F" w:rsidRPr="00791E3B">
        <w:t>% zabezpečí prílev kapitálu, kým príspevok pracovnej sily bude</w:t>
      </w:r>
      <w:r w:rsidR="00791E3B">
        <w:t xml:space="preserve"> v dôsledku úbytku populácie</w:t>
      </w:r>
      <w:r w:rsidR="00C7646F" w:rsidRPr="00791E3B">
        <w:t xml:space="preserve"> negatívny </w:t>
      </w:r>
      <w:r w:rsidR="00332AC6">
        <w:br/>
      </w:r>
      <w:r w:rsidR="00C7646F" w:rsidRPr="00791E3B">
        <w:t>(</w:t>
      </w:r>
      <w:r w:rsidR="000550B0">
        <w:t>–</w:t>
      </w:r>
      <w:r w:rsidR="00791E3B" w:rsidRPr="00791E3B">
        <w:t>40</w:t>
      </w:r>
      <w:r w:rsidR="000550B0">
        <w:t xml:space="preserve"> </w:t>
      </w:r>
      <w:r w:rsidR="00C7646F" w:rsidRPr="00791E3B">
        <w:t>%)</w:t>
      </w:r>
      <w:r w:rsidR="00791E3B">
        <w:rPr>
          <w:rStyle w:val="Znakapoznpodarou"/>
        </w:rPr>
        <w:footnoteReference w:id="14"/>
      </w:r>
      <w:r w:rsidR="001A1571" w:rsidRPr="00791E3B">
        <w:t>.</w:t>
      </w:r>
      <w:r w:rsidR="001A1571" w:rsidRPr="001A1571">
        <w:t xml:space="preserve"> </w:t>
      </w:r>
      <w:r w:rsidR="0017159B">
        <w:t xml:space="preserve">Prílev PZI </w:t>
      </w:r>
      <w:r w:rsidR="001A1571">
        <w:t>zatiaľ</w:t>
      </w:r>
      <w:r w:rsidR="0017159B">
        <w:t xml:space="preserve"> nebol na Slovensku sprevádzaný</w:t>
      </w:r>
      <w:r w:rsidR="001A1571">
        <w:t xml:space="preserve"> významnejšími</w:t>
      </w:r>
      <w:r w:rsidR="0017159B">
        <w:t xml:space="preserve"> zahraničnými podnikovými investíciami do výskumu a</w:t>
      </w:r>
      <w:r w:rsidR="00332AC6">
        <w:t> </w:t>
      </w:r>
      <w:r w:rsidR="0017159B">
        <w:t>vývoja</w:t>
      </w:r>
      <w:r w:rsidR="00332AC6">
        <w:t>.</w:t>
      </w:r>
      <w:r w:rsidR="0017159B" w:rsidRPr="0017159B">
        <w:t xml:space="preserve"> Význam </w:t>
      </w:r>
      <w:r w:rsidR="0017159B">
        <w:t>PZI ako zdroja rastu</w:t>
      </w:r>
      <w:r w:rsidR="0017159B" w:rsidRPr="0017159B">
        <w:t xml:space="preserve"> môže byť ohrozený po postupnom odchode vybraných aktivít týchto spoločností d</w:t>
      </w:r>
      <w:r w:rsidR="0017159B">
        <w:t>o nákladovo výhodnejších krajín</w:t>
      </w:r>
      <w:r w:rsidR="0017159B" w:rsidRPr="0017159B">
        <w:t xml:space="preserve">. </w:t>
      </w:r>
      <w:r w:rsidR="003C171D">
        <w:t>Pre rast produktivity práce (a najmä TFP) je potrebné kreovať funkčný a výkonný</w:t>
      </w:r>
      <w:r w:rsidR="0017159B" w:rsidRPr="0017159B">
        <w:t xml:space="preserve"> n</w:t>
      </w:r>
      <w:r w:rsidR="0017159B">
        <w:t>árodn</w:t>
      </w:r>
      <w:r w:rsidR="003C171D">
        <w:t>ý inovačný</w:t>
      </w:r>
      <w:r w:rsidR="0017159B" w:rsidRPr="0017159B">
        <w:t xml:space="preserve"> systém</w:t>
      </w:r>
      <w:r w:rsidR="003C171D">
        <w:t>.</w:t>
      </w:r>
      <w:r w:rsidRPr="006A61EB">
        <w:t xml:space="preserve"> </w:t>
      </w:r>
      <w:r>
        <w:t>Výkonná ekonomika založená na vzdelaní a inováciách je základnou podmienkou dôstojnej a dobre platenej práce.</w:t>
      </w:r>
    </w:p>
    <w:p w14:paraId="4A971883" w14:textId="77777777" w:rsidR="00AC78DF" w:rsidRPr="000166D1" w:rsidRDefault="00AC78DF" w:rsidP="004635B8"/>
    <w:p w14:paraId="70AC41BC" w14:textId="0A0DD694" w:rsidR="000166D1" w:rsidRPr="000166D1" w:rsidRDefault="004635B8" w:rsidP="00715F57">
      <w:pPr>
        <w:pStyle w:val="Nadpis3"/>
        <w:rPr>
          <w:bCs/>
        </w:rPr>
      </w:pPr>
      <w:bookmarkStart w:id="8" w:name="_Toc500705990"/>
      <w:r>
        <w:t xml:space="preserve">3 </w:t>
      </w:r>
      <w:r w:rsidR="000550B0">
        <w:t>Analýza medzery</w:t>
      </w:r>
      <w:bookmarkEnd w:id="8"/>
    </w:p>
    <w:p w14:paraId="6EBE0838" w14:textId="1E9C2E80" w:rsidR="006D388E" w:rsidRDefault="006D388E" w:rsidP="004635B8">
      <w:r>
        <w:t>Kľúčovou otázkou ekonomického rastu bude prechod od ekonomiky založenej na nízkych mzdách a daniach na ekonomiku založenú na vysokých mzdách, vyšších daniach a inováciách. Vyšší výber daní bude nevyhnutný na udržanie sociálneho systému a zabezpečenie príjmov ekonomicky neaktívnej populácie.</w:t>
      </w:r>
    </w:p>
    <w:p w14:paraId="10E2171C" w14:textId="21C1C64F" w:rsidR="006D388E" w:rsidRPr="004E3CC2" w:rsidRDefault="002972E1" w:rsidP="006D388E">
      <w:r w:rsidRPr="003654D5">
        <w:t>Slovenská republika</w:t>
      </w:r>
      <w:r>
        <w:t xml:space="preserve"> doteraz patrila</w:t>
      </w:r>
      <w:r w:rsidRPr="003654D5">
        <w:t xml:space="preserve"> v rámci </w:t>
      </w:r>
      <w:r>
        <w:t>EÚ28</w:t>
      </w:r>
      <w:r w:rsidRPr="003654D5">
        <w:t xml:space="preserve"> k najrýchlejšie rastúcim ekonomikám. </w:t>
      </w:r>
      <w:r>
        <w:t xml:space="preserve">Hrubý domáci produkt na obyvateľa v parite kúpnej sily vzrástol zo 47 % priemeru EÚ27 v roku 1995 na 72,8 % v roku 2016. </w:t>
      </w:r>
      <w:r w:rsidR="007D6262">
        <w:t>Atlas Svetovej banky radí Slovensko do skupiny krajín s najvyšším hrubým národným dôchodkom na obyvateľa</w:t>
      </w:r>
      <w:r w:rsidR="007D6262">
        <w:rPr>
          <w:rStyle w:val="Znakapoznpodarou"/>
        </w:rPr>
        <w:footnoteReference w:id="15"/>
      </w:r>
      <w:r w:rsidR="007D6262">
        <w:t xml:space="preserve">. </w:t>
      </w:r>
      <w:r w:rsidR="003C171D">
        <w:t>Motorom slovenskej ekonomiky sú exporty. Slovensko je malá a veľmi otvorená ekonomika. Podiel exportov tovarov a služieb na HDP dosahuje takmer 100</w:t>
      </w:r>
      <w:r w:rsidR="000550B0">
        <w:t xml:space="preserve"> </w:t>
      </w:r>
      <w:r w:rsidR="003C171D">
        <w:t xml:space="preserve">%. Malá ekonomika sa nutne musí špecializovať na malý počet </w:t>
      </w:r>
      <w:r w:rsidR="003C171D">
        <w:lastRenderedPageBreak/>
        <w:t>exportne orientovaných odvetví. V prípade SR</w:t>
      </w:r>
      <w:r w:rsidR="00631356">
        <w:t xml:space="preserve"> podiel troch najväčších odvetví (automobily, elektrotechnika a stroje) na exportoch narástol v rokoch 1997</w:t>
      </w:r>
      <w:r w:rsidR="000550B0">
        <w:t xml:space="preserve"> – </w:t>
      </w:r>
      <w:r w:rsidR="00631356">
        <w:t>2016 z</w:t>
      </w:r>
      <w:r w:rsidR="000550B0">
        <w:t> </w:t>
      </w:r>
      <w:r w:rsidR="00631356">
        <w:t>26</w:t>
      </w:r>
      <w:r w:rsidR="000550B0">
        <w:t xml:space="preserve"> </w:t>
      </w:r>
      <w:r w:rsidR="00631356">
        <w:t>% na 55</w:t>
      </w:r>
      <w:r w:rsidR="000550B0">
        <w:t xml:space="preserve"> </w:t>
      </w:r>
      <w:r w:rsidR="00631356">
        <w:t>%</w:t>
      </w:r>
      <w:r w:rsidR="00E903BD">
        <w:t xml:space="preserve"> (Príloha 1, Grafy 1 a 2)</w:t>
      </w:r>
      <w:r w:rsidR="003B366E">
        <w:rPr>
          <w:rStyle w:val="Znakapoznpodarou"/>
        </w:rPr>
        <w:footnoteReference w:id="16"/>
      </w:r>
      <w:r w:rsidR="00631356">
        <w:t xml:space="preserve">. </w:t>
      </w:r>
      <w:r w:rsidR="006D388E" w:rsidRPr="004E3CC2">
        <w:t>Slovensko má v porovnaní s priemerom EÚ28 vysoký podiel exportov medium- a hi</w:t>
      </w:r>
      <w:r w:rsidR="006D388E">
        <w:t>gh</w:t>
      </w:r>
      <w:r w:rsidR="006D388E" w:rsidRPr="004E3CC2">
        <w:t xml:space="preserve">-tech produktov (SK: 66,6 </w:t>
      </w:r>
      <w:r w:rsidR="006D388E">
        <w:t xml:space="preserve">%, EÚ28: </w:t>
      </w:r>
      <w:r w:rsidR="006D388E" w:rsidRPr="004E3CC2">
        <w:t>56,1 % v roku 2015). Tieto exporty sú však tvorené tovarmi vyrobenými v automobilovom priemysle a v odvetví spotrebnej elektroniky a sú výsledkom aktivít multinacionálnych spoločností (MNC), nie domácich slovenských firiem. Podobnú štruktúru exportov majú aj Maďars</w:t>
      </w:r>
      <w:r w:rsidR="006D388E">
        <w:t xml:space="preserve">ko (69,5 %) a Česko (64,0 %). </w:t>
      </w:r>
      <w:r w:rsidR="006D388E" w:rsidRPr="004E3CC2">
        <w:t>Vyspelé ekonomiky profitujú predovšetkým z exportov poznatkovo-intenzívnych služieb, kde je podiel pridanej hodnoty podstatne vyšší ako pri exportoch medium-tech a high-tech tovarov. V roku 2015 činili v EÚ28 exporty pozna</w:t>
      </w:r>
      <w:r w:rsidR="006D388E">
        <w:t>tkovo-intenzívnych služieb 63,1</w:t>
      </w:r>
      <w:r w:rsidR="00664F42">
        <w:t xml:space="preserve"> </w:t>
      </w:r>
      <w:r w:rsidR="006D388E" w:rsidRPr="004E3CC2">
        <w:t>% celkových exportov služieb, kým v</w:t>
      </w:r>
      <w:r w:rsidR="00024B70">
        <w:t> </w:t>
      </w:r>
      <w:r w:rsidR="006D388E" w:rsidRPr="004E3CC2">
        <w:t>SR</w:t>
      </w:r>
      <w:r w:rsidR="00024B70">
        <w:t xml:space="preserve"> </w:t>
      </w:r>
      <w:r w:rsidR="006D388E" w:rsidRPr="004E3CC2">
        <w:t>bol tento podiel len 35,3</w:t>
      </w:r>
      <w:r w:rsidR="00664F42">
        <w:t xml:space="preserve"> </w:t>
      </w:r>
      <w:r w:rsidR="006D388E">
        <w:t>%.</w:t>
      </w:r>
    </w:p>
    <w:p w14:paraId="7FF24550" w14:textId="07491B21" w:rsidR="001E10E4" w:rsidRDefault="00631356" w:rsidP="006E2E8C">
      <w:r>
        <w:t>Vďaka exportnej orientácii a špecializácii bola r</w:t>
      </w:r>
      <w:r w:rsidR="002972E1">
        <w:t>ýchlosť konvergencie k priemeru EÚ28 v SR vyššia ako v ostatných nových členských krajinách v strednej Európe, o</w:t>
      </w:r>
      <w:r w:rsidR="00332AC6">
        <w:t>d</w:t>
      </w:r>
      <w:r w:rsidR="002972E1">
        <w:t xml:space="preserve"> roku 2014 sa však zastavila.</w:t>
      </w:r>
      <w:r w:rsidR="00E874E9">
        <w:t xml:space="preserve"> Slovensko už vyčerpáva extenzívne zdroje rastu (prísun novej pracovnej sily a kapitálu). Na prechod k intenzívnemu rastu, založenom na výskume, vývoji</w:t>
      </w:r>
      <w:r w:rsidR="006E2E8C">
        <w:t>,</w:t>
      </w:r>
      <w:r w:rsidR="00E874E9">
        <w:t> technologických a organizačných inováciách</w:t>
      </w:r>
      <w:r w:rsidR="00332AC6">
        <w:t>,</w:t>
      </w:r>
      <w:r w:rsidR="006E2E8C">
        <w:t xml:space="preserve"> ako aj medzi-sektorových inováciách,</w:t>
      </w:r>
      <w:r w:rsidR="00E874E9">
        <w:t xml:space="preserve"> je Slovensko </w:t>
      </w:r>
      <w:r w:rsidR="006D388E">
        <w:t xml:space="preserve">zatiaľ </w:t>
      </w:r>
      <w:r w:rsidR="00E874E9">
        <w:t>slabo pripravené.</w:t>
      </w:r>
      <w:r w:rsidR="00594EBB">
        <w:t xml:space="preserve"> Hlavnými problémami sú (1) nerozvinutý národný systém vývoja a</w:t>
      </w:r>
      <w:r w:rsidR="006E2E8C">
        <w:t> </w:t>
      </w:r>
      <w:r w:rsidR="00594EBB">
        <w:t>inovácií</w:t>
      </w:r>
      <w:r w:rsidR="006E2E8C">
        <w:t>,</w:t>
      </w:r>
      <w:r w:rsidR="00594EBB">
        <w:t xml:space="preserve"> (2)</w:t>
      </w:r>
      <w:r w:rsidR="005414C6">
        <w:t xml:space="preserve"> podnikateľské prostredie</w:t>
      </w:r>
      <w:r w:rsidR="008F295E">
        <w:t>, t.j. „inovačná a regulačná infraštruktúra“</w:t>
      </w:r>
      <w:r w:rsidR="006E2E8C">
        <w:t xml:space="preserve"> a (3) </w:t>
      </w:r>
      <w:r w:rsidR="006E2E8C" w:rsidRPr="006E2E8C">
        <w:t>absencia využitia potenciálu kreatívneho priemyslu</w:t>
      </w:r>
      <w:r w:rsidR="005414C6">
        <w:t>.</w:t>
      </w:r>
      <w:r w:rsidR="004E3CC2">
        <w:t xml:space="preserve"> </w:t>
      </w:r>
      <w:r w:rsidR="004E3CC2" w:rsidRPr="004E3CC2">
        <w:t xml:space="preserve">Slovensko dlhodobo patrí v oblasti výskumu a vývoja (VaV) k </w:t>
      </w:r>
      <w:r w:rsidR="00E903BD">
        <w:t>najslabším krajinám EÚ28 (Graf 3</w:t>
      </w:r>
      <w:r w:rsidR="004E3CC2" w:rsidRPr="004E3CC2">
        <w:t>). Pozícia SR v rámci Európskeho inovačného rebríčka sa od roku 2008 zmenila len málo. Veľmi nízke sú v SR vstupy do systému VaV (merané investíciami z verejných a najmä súkromných zdrojov), ako aj výstupy (merané vedeckou produkciou a ko</w:t>
      </w:r>
      <w:r w:rsidR="00E903BD">
        <w:t>merčnými efektami VaV, Tabuľka 3</w:t>
      </w:r>
      <w:r w:rsidR="004E3CC2" w:rsidRPr="004E3CC2">
        <w:t>).</w:t>
      </w:r>
      <w:r w:rsidR="004E3CC2">
        <w:t xml:space="preserve"> </w:t>
      </w:r>
      <w:r w:rsidR="00AA43DF">
        <w:t>Hodnota sumárneho inovačného indexu (SII) dosahuje v SR len 68,6</w:t>
      </w:r>
      <w:r w:rsidR="00664F42">
        <w:t xml:space="preserve"> </w:t>
      </w:r>
      <w:r w:rsidR="00AA43DF">
        <w:t>% priemeru EÚ28 (CZ: 82,7</w:t>
      </w:r>
      <w:r w:rsidR="00664F42">
        <w:t xml:space="preserve"> </w:t>
      </w:r>
      <w:r w:rsidR="00AA43DF">
        <w:t>%). Za nízkou hodnotou SII je predovšetkým veľmi nízky počet komerčných výstupov VaV (patenty, priemyselné vzory, ochranné známky) a nízky podiel inovujúcich podnikov na celkovom počte podnikov.</w:t>
      </w:r>
    </w:p>
    <w:p w14:paraId="63458B95" w14:textId="32F969CE" w:rsidR="00B812B4" w:rsidRDefault="006724CA" w:rsidP="004635B8">
      <w:r>
        <w:t xml:space="preserve">Rebríček podnikateľského prostredia Svetovej Banky </w:t>
      </w:r>
      <w:r w:rsidRPr="009F0794">
        <w:rPr>
          <w:i/>
        </w:rPr>
        <w:t>Doing Business</w:t>
      </w:r>
      <w:r>
        <w:rPr>
          <w:rStyle w:val="Znakapoznpodarou"/>
        </w:rPr>
        <w:footnoteReference w:id="17"/>
      </w:r>
      <w:r>
        <w:t xml:space="preserve"> umiestňuje Slovensko na 39. miesto zo 190 hodnotených krajín. Rebríček priaznivo hodnotí otvorenosť slovenskej ekonomiky a nízku administratívnu záťaž v zahraničnom obchode (1. miesto), registráciu nehnuteľností (7. miesto), a riešenie konkurzov a vyrovnaní (42. miesto). Za úzke miesta podnikateľského prostredia označuje procedúry pri zakladaní podnikov (83. miesto), vymožiteľnosť práva (84. mi</w:t>
      </w:r>
      <w:r w:rsidR="005414C6">
        <w:t>esto) a stavebné povolenia (91.</w:t>
      </w:r>
      <w:r>
        <w:t xml:space="preserve"> miesto). </w:t>
      </w:r>
      <w:r w:rsidR="00B812B4">
        <w:t>Správa Svetového ekonomického fóra</w:t>
      </w:r>
      <w:r w:rsidR="00B812B4">
        <w:rPr>
          <w:rStyle w:val="Znakapoznpodarou"/>
        </w:rPr>
        <w:footnoteReference w:id="18"/>
      </w:r>
      <w:r w:rsidR="00B812B4">
        <w:t xml:space="preserve"> umiestnila SR na 59 miesto zo 137 hodnotených krajín. Priaznivo hodnotí makroekonomické prostredie a finančný trh (35. a 32. miesto) a schopnosť krajiny pritiahnuť PZI a technologické transfery. Nepriaznivo hodnotí efektívnosť súdnictva (131. miesto), celkové daňové zaťaženie (113. miesto), schopnosť krajiny udržať talentovaných ľudí (125. miesto) a ponuku absolventov prírodných a technických vied (104. miesto).</w:t>
      </w:r>
    </w:p>
    <w:p w14:paraId="255CC52D" w14:textId="77777777" w:rsidR="00AC78DF" w:rsidRPr="00555D1B" w:rsidRDefault="00AC78DF" w:rsidP="004635B8"/>
    <w:p w14:paraId="312CDC9B" w14:textId="7FEA1C35" w:rsidR="004635B8" w:rsidRDefault="004635B8" w:rsidP="00715F57">
      <w:pPr>
        <w:pStyle w:val="Nadpis3"/>
      </w:pPr>
      <w:bookmarkStart w:id="9" w:name="_Toc500705991"/>
      <w:r>
        <w:lastRenderedPageBreak/>
        <w:t xml:space="preserve">4 </w:t>
      </w:r>
      <w:r w:rsidR="00730990" w:rsidRPr="000166D1">
        <w:t xml:space="preserve">Stručný prehľad existujúcich </w:t>
      </w:r>
      <w:r w:rsidR="00730990">
        <w:t>dlhodobých stratégií</w:t>
      </w:r>
      <w:r w:rsidR="00730990" w:rsidRPr="000166D1">
        <w:t xml:space="preserve"> SR </w:t>
      </w:r>
      <w:r w:rsidR="00730990">
        <w:t>v danej téme</w:t>
      </w:r>
      <w:bookmarkEnd w:id="9"/>
    </w:p>
    <w:p w14:paraId="37AF12B1" w14:textId="4822B85C" w:rsidR="00E874E9" w:rsidRDefault="00775731" w:rsidP="00332AC6">
      <w:r>
        <w:t>Základný dokument ekonomického rozvoja „</w:t>
      </w:r>
      <w:r w:rsidR="000603B5">
        <w:t xml:space="preserve">Stratégia </w:t>
      </w:r>
      <w:r w:rsidRPr="00775731">
        <w:t>hospodárskej politiky Sloven</w:t>
      </w:r>
      <w:r w:rsidR="000603B5">
        <w:t>skej republiky do roku 2030“ je v štádiu prípravy</w:t>
      </w:r>
      <w:r w:rsidR="00332AC6">
        <w:t>.</w:t>
      </w:r>
      <w:r w:rsidR="000603B5">
        <w:t xml:space="preserve"> Dokument</w:t>
      </w:r>
      <w:r w:rsidR="00CD52DB">
        <w:t xml:space="preserve"> Ministerstva hospodárstva</w:t>
      </w:r>
      <w:r w:rsidR="000603B5">
        <w:t xml:space="preserve"> </w:t>
      </w:r>
      <w:r w:rsidR="00332081">
        <w:t xml:space="preserve">SR </w:t>
      </w:r>
      <w:r w:rsidR="000603B5">
        <w:t>má ambíciu mapovať postavenie SR na globálnych trhoch, makroekonomický vývoj, vývoj odvetvovej štruktúry ekonomiky SR a problematiku verejných financií. Podľa predbežného obsahu dokument zatiaľ nemá ambíciu mapovať vplyvy demografického vývoja a technologických zmien na výšku ekonomického ra</w:t>
      </w:r>
      <w:r w:rsidR="00332AC6">
        <w:t>s</w:t>
      </w:r>
      <w:r w:rsidR="000603B5">
        <w:t>tu a štruktúru zdrojov rastu.</w:t>
      </w:r>
      <w:r w:rsidR="00CD52DB">
        <w:t xml:space="preserve"> </w:t>
      </w:r>
      <w:r w:rsidR="00E874E9">
        <w:t>MŠVVŠ SR pripravilo stratégiu inteligentnej špecializácie „Poznatkami k prosperite“. Stratégia je podkladovým dokumentom pre čerpanie EŠIF do roku 2020.</w:t>
      </w:r>
      <w:r w:rsidR="00E874E9" w:rsidRPr="00E874E9">
        <w:t xml:space="preserve"> </w:t>
      </w:r>
      <w:r w:rsidR="00E874E9">
        <w:t xml:space="preserve">Slovensko zatiaľ nemá vypracovaný Národný inovačný plán ani dlhodobý strategický dokument pre oblasť vedy a techniky. </w:t>
      </w:r>
    </w:p>
    <w:p w14:paraId="68EA7CA5" w14:textId="1FE24FF9" w:rsidR="00E874E9" w:rsidRDefault="00E874E9" w:rsidP="004635B8">
      <w:r>
        <w:t>V oblasti demografickej zmeny pripravilo MPSVaR „</w:t>
      </w:r>
      <w:r w:rsidRPr="00D95C22">
        <w:t>Národný program aktívneho starnutia na roky 2014 – 2020</w:t>
      </w:r>
      <w:r>
        <w:t xml:space="preserve">“. Národný program sa zameriava predovšetkým na otázky zamestnanosti a nezamestnanosti a menej na dlhodobú udržateľnosť zásoby pracovnej sily. Nezameriava sa na fiškálne dôsledky starnutia populácie. K týmto otázkam sa pravidelne vyjadruje </w:t>
      </w:r>
      <w:r w:rsidR="008D16B7">
        <w:t>Rada pre r</w:t>
      </w:r>
      <w:r w:rsidRPr="00E874E9">
        <w:t>ozpočtovú zodpovednosť</w:t>
      </w:r>
      <w:r>
        <w:t xml:space="preserve">. Jej vyjadrenia však nie sú právne záväzné. Na zmenšenie regulačnej záťaže podnikateľského prostredia </w:t>
      </w:r>
      <w:r w:rsidRPr="0016177A">
        <w:t>pripravuje</w:t>
      </w:r>
      <w:r w:rsidR="0016177A">
        <w:t xml:space="preserve"> Ministerstvo hospodárstva SR</w:t>
      </w:r>
      <w:r>
        <w:t xml:space="preserve"> </w:t>
      </w:r>
      <w:r w:rsidR="00332081">
        <w:t>„</w:t>
      </w:r>
      <w:r>
        <w:t>Stratégiu lepšej regulácie (RIA 2020)</w:t>
      </w:r>
      <w:r w:rsidR="00332081">
        <w:t>“</w:t>
      </w:r>
      <w:r>
        <w:t>.</w:t>
      </w:r>
    </w:p>
    <w:p w14:paraId="1288FAA5" w14:textId="4EB9554E" w:rsidR="00D95C22" w:rsidRPr="000166D1" w:rsidRDefault="00CD52DB" w:rsidP="00332081">
      <w:r>
        <w:t xml:space="preserve">V oblasti rozvoja dopravnej infraštruktúry pripravilo Ministerstvo dopravy a výstavby </w:t>
      </w:r>
      <w:r w:rsidR="00332081">
        <w:t>SR „Strategický p</w:t>
      </w:r>
      <w:r w:rsidR="00332081" w:rsidRPr="00D95C22">
        <w:t>lán rozvoja dopravnej infraštruktúry SR do 2020</w:t>
      </w:r>
      <w:r w:rsidR="00332081">
        <w:t xml:space="preserve">“ a </w:t>
      </w:r>
      <w:r w:rsidR="00D95C22">
        <w:t>„</w:t>
      </w:r>
      <w:r w:rsidRPr="00CD52DB">
        <w:t>Strategický plán rozvoja doprav</w:t>
      </w:r>
      <w:r w:rsidR="0016177A">
        <w:t>y</w:t>
      </w:r>
      <w:r w:rsidRPr="00CD52DB">
        <w:t xml:space="preserve"> SR do roku 20</w:t>
      </w:r>
      <w:r w:rsidR="0016177A">
        <w:t>3</w:t>
      </w:r>
      <w:r w:rsidRPr="00CD52DB">
        <w:t>0</w:t>
      </w:r>
      <w:r w:rsidR="00D95C22">
        <w:t>“</w:t>
      </w:r>
      <w:r w:rsidR="00332081">
        <w:t>.</w:t>
      </w:r>
      <w:r w:rsidR="00D95C22">
        <w:t xml:space="preserve"> </w:t>
      </w:r>
      <w:r w:rsidR="00332081">
        <w:t xml:space="preserve">Ministerstvo financií pripravilo v oblasti informačnej spoločnosti </w:t>
      </w:r>
      <w:r w:rsidR="00D95C22">
        <w:t>„</w:t>
      </w:r>
      <w:r w:rsidR="00D95C22" w:rsidRPr="00D95C22">
        <w:t>Strategický dokument pre oblasť rastu digitálnych služieb a oblasť infraštruktúry prístupovej siete novej generácie (2014-2020)</w:t>
      </w:r>
      <w:r w:rsidR="00D95C22">
        <w:t xml:space="preserve">“. </w:t>
      </w:r>
      <w:r w:rsidR="00332081">
        <w:t>„</w:t>
      </w:r>
      <w:r w:rsidR="00D95C22">
        <w:t>Koncepcia stabilizácie a modernizácie súdnictva</w:t>
      </w:r>
      <w:r w:rsidR="00332081">
        <w:t>“</w:t>
      </w:r>
      <w:r w:rsidR="00D95C22">
        <w:t xml:space="preserve"> Ministerstv</w:t>
      </w:r>
      <w:r w:rsidR="00332081">
        <w:t>a</w:t>
      </w:r>
      <w:r w:rsidR="00D95C22">
        <w:t xml:space="preserve"> spravodlivosti</w:t>
      </w:r>
      <w:r w:rsidR="00332081">
        <w:t xml:space="preserve"> SR</w:t>
      </w:r>
      <w:r w:rsidR="00D95C22">
        <w:t xml:space="preserve"> obsahuje niektoré dlhodobé opatrenia na zefektívnenie činnosti súdneho systému až do roku 2025.</w:t>
      </w:r>
    </w:p>
    <w:p w14:paraId="3D6DAF49" w14:textId="77777777" w:rsidR="00E841B1" w:rsidRPr="00555D1B" w:rsidRDefault="00E841B1" w:rsidP="004635B8"/>
    <w:p w14:paraId="2E4A67F6" w14:textId="77777777" w:rsidR="006A23D0" w:rsidRDefault="006A23D0">
      <w:pPr>
        <w:spacing w:after="0"/>
        <w:jc w:val="left"/>
        <w:rPr>
          <w:rFonts w:ascii="Cambria" w:eastAsiaTheme="majorEastAsia" w:hAnsi="Cambria"/>
          <w:b/>
          <w:bCs w:val="0"/>
          <w:color w:val="1F4E79" w:themeColor="accent5" w:themeShade="80"/>
          <w:sz w:val="32"/>
          <w:szCs w:val="32"/>
        </w:rPr>
      </w:pPr>
      <w:r>
        <w:br w:type="page"/>
      </w:r>
    </w:p>
    <w:p w14:paraId="617771E9" w14:textId="4A01801F" w:rsidR="006A5192" w:rsidRPr="004635B8" w:rsidRDefault="006A5192" w:rsidP="00332AC6">
      <w:pPr>
        <w:pStyle w:val="Nadpis2"/>
      </w:pPr>
      <w:bookmarkStart w:id="10" w:name="_Toc500705992"/>
      <w:r>
        <w:lastRenderedPageBreak/>
        <w:t xml:space="preserve">Téma 2: </w:t>
      </w:r>
      <w:r w:rsidR="00132BE0">
        <w:t>Vzdelanie pre udržateľný rozvoj (inkluzívne a kvalitné vzdelávanie pre potreby trhu práce)</w:t>
      </w:r>
      <w:bookmarkEnd w:id="10"/>
    </w:p>
    <w:p w14:paraId="37255419" w14:textId="10096F3E" w:rsidR="000B4924" w:rsidRDefault="000B4924" w:rsidP="000B4924">
      <w:pPr>
        <w:jc w:val="center"/>
        <w:rPr>
          <w:noProof/>
          <w:lang w:eastAsia="sk-SK"/>
        </w:rPr>
      </w:pPr>
      <w:r w:rsidRPr="007A3E43">
        <w:rPr>
          <w:noProof/>
          <w:lang w:val="cs-CZ" w:eastAsia="cs-CZ"/>
        </w:rPr>
        <w:drawing>
          <wp:inline distT="0" distB="0" distL="0" distR="0" wp14:anchorId="2E181EDF" wp14:editId="6E65180B">
            <wp:extent cx="1260000" cy="1260000"/>
            <wp:effectExtent l="0" t="0" r="0" b="0"/>
            <wp:docPr id="8" name="Obrázok 8" descr="Image result for 17 SDG c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17 SDG cie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Pr="007A3E43">
        <w:rPr>
          <w:noProof/>
          <w:lang w:eastAsia="sk-SK"/>
        </w:rPr>
        <w:t xml:space="preserve"> </w:t>
      </w:r>
      <w:r w:rsidRPr="007A3E43">
        <w:rPr>
          <w:noProof/>
          <w:lang w:val="cs-CZ" w:eastAsia="cs-CZ"/>
        </w:rPr>
        <w:drawing>
          <wp:inline distT="0" distB="0" distL="0" distR="0" wp14:anchorId="37583F54" wp14:editId="4F82518E">
            <wp:extent cx="1260000" cy="1260000"/>
            <wp:effectExtent l="0" t="0" r="0" b="0"/>
            <wp:docPr id="9" name="Obrázok 9" descr="C:\Users\Vlado\Documents\SDG 8 dôstojná práca a ekonomický r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lado\Documents\SDG 8 dôstojná práca a ekonomický ras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p>
    <w:p w14:paraId="54FD61C8" w14:textId="77777777" w:rsidR="00AC78DF" w:rsidRPr="007A3E43" w:rsidRDefault="00AC78DF" w:rsidP="000B4924">
      <w:pPr>
        <w:jc w:val="center"/>
      </w:pPr>
    </w:p>
    <w:p w14:paraId="0A650726" w14:textId="1A15EB94" w:rsidR="00957F77" w:rsidRPr="004635B8" w:rsidRDefault="00957F77" w:rsidP="00715F57">
      <w:pPr>
        <w:pStyle w:val="Nadpis3"/>
      </w:pPr>
      <w:bookmarkStart w:id="11" w:name="_Toc500705993"/>
      <w:r w:rsidRPr="004635B8">
        <w:t>1 Globálne megatrendy</w:t>
      </w:r>
      <w:bookmarkEnd w:id="11"/>
    </w:p>
    <w:p w14:paraId="4C566A15" w14:textId="09A66353" w:rsidR="00C24E6D" w:rsidRPr="00F05AB1" w:rsidRDefault="00C24E6D" w:rsidP="00332AC6">
      <w:pPr>
        <w:rPr>
          <w:rFonts w:ascii="Cambria" w:hAnsi="Cambria" w:cs="Cambria"/>
        </w:rPr>
      </w:pPr>
      <w:r>
        <w:t>Identifikáciu megatrendov v oblasti vzdelávani</w:t>
      </w:r>
      <w:r w:rsidR="00332AC6">
        <w:t>a</w:t>
      </w:r>
      <w:r>
        <w:t xml:space="preserve"> s prepojením na trh práce je potrebné vnímať v kontexte ďalších faktorov ako sú globalizácia, pozícia jednotlivých štátov, proces urbanizácie, zmeny na úrovni vnímania rodiny alebo využívanie nových technológii a digitalizácie</w:t>
      </w:r>
      <w:r>
        <w:rPr>
          <w:rStyle w:val="Znakapoznpodarou"/>
        </w:rPr>
        <w:footnoteReference w:id="19"/>
      </w:r>
      <w:r>
        <w:t xml:space="preserve">. </w:t>
      </w:r>
      <w:r w:rsidRPr="00E24F2E">
        <w:t>Migrácia podmienená globalizáciou a čiastočným stieraním hraníc národných štátov okrem možného posilnenia v oblasti výmeny zručností alebo mobility pracovnej sily, prináša i otázky ohľadom najvhodnejších spôsobov začleňovania žiakov a študentov z odlišného kultúrneho a sociálneho prostredia a úlohy vzdelávania v procese interkultúrnej komunikácie a zdieľania spoločných hodnôt</w:t>
      </w:r>
      <w:r w:rsidRPr="00E24F2E">
        <w:rPr>
          <w:rStyle w:val="Znakapoznpodarou"/>
        </w:rPr>
        <w:footnoteReference w:id="20"/>
      </w:r>
      <w:r w:rsidRPr="00E24F2E">
        <w:t>.  Ekonomická súťaž medzi jednotlivými štátmi, ktorá je v prípade rozvinutých ekonomík podmienená takmer výlučne akumuláciou nefyzických foriem kapitálu</w:t>
      </w:r>
      <w:r w:rsidRPr="00E24F2E">
        <w:rPr>
          <w:rStyle w:val="Znakapoznpodarou"/>
        </w:rPr>
        <w:footnoteReference w:id="21"/>
      </w:r>
      <w:r w:rsidRPr="00E24F2E">
        <w:t>, prináša orientáciu na vzdelávacie systémy silne prepojené s trhom práce a zabezpečenie kvalifikovanej pracovnej</w:t>
      </w:r>
      <w:r>
        <w:t xml:space="preserve"> sily s výrazným dôrazom na vedomostnú spoločnosť, IKT a medzinárodný obchod</w:t>
      </w:r>
      <w:r>
        <w:rPr>
          <w:rStyle w:val="Znakapoznpodarou"/>
        </w:rPr>
        <w:footnoteReference w:id="22"/>
      </w:r>
      <w:r>
        <w:t>. Tlak na masívne využívanie online technológii a orientácia na vedomostnú spoločnosť prináša nové výzvy v súvislosti s vytváraním pracovných príležitosti pre ľudí, ktorých pracovné miesta sú vysok</w:t>
      </w:r>
      <w:r w:rsidR="00332AC6">
        <w:t>ým</w:t>
      </w:r>
      <w:r w:rsidR="001D650B">
        <w:t xml:space="preserve"> </w:t>
      </w:r>
      <w:r w:rsidR="00332AC6">
        <w:t>tempom</w:t>
      </w:r>
      <w:r>
        <w:t xml:space="preserve"> digitalizáci</w:t>
      </w:r>
      <w:r w:rsidR="00332AC6">
        <w:t>e</w:t>
      </w:r>
      <w:r>
        <w:t xml:space="preserve"> a robotizáci</w:t>
      </w:r>
      <w:r w:rsidR="00332AC6">
        <w:t>e</w:t>
      </w:r>
      <w:r>
        <w:t xml:space="preserve"> ohrozené</w:t>
      </w:r>
      <w:r>
        <w:rPr>
          <w:rStyle w:val="Znakapoznpodarou"/>
        </w:rPr>
        <w:footnoteReference w:id="23"/>
      </w:r>
      <w:r>
        <w:t>. Významným fenoménom sa stáva i využívanie sociálnych sieti, v rámci ktorých sú tínedžeri považovaní za najsilnejšiu skupinu užívateľov, čo prináša nové otázky ohľadom úlohy vzdelávania v oblasti kyber-bezpečnosti</w:t>
      </w:r>
      <w:r>
        <w:rPr>
          <w:rStyle w:val="Znakapoznpodarou"/>
        </w:rPr>
        <w:footnoteReference w:id="24"/>
      </w:r>
      <w:r>
        <w:t xml:space="preserve">. </w:t>
      </w:r>
    </w:p>
    <w:p w14:paraId="46695498" w14:textId="5E9E7CC3" w:rsidR="00957F77" w:rsidRDefault="00C24E6D" w:rsidP="004635B8">
      <w:r>
        <w:t>V súvislosti so sledovaním megatrendov v oblasti vzdelávania a zamestnanosti je možné sledovať i významný posun smerom ku rodovej rovnosti a dopyt</w:t>
      </w:r>
      <w:r w:rsidR="00332AC6">
        <w:t>u</w:t>
      </w:r>
      <w:r>
        <w:t xml:space="preserve"> po vzdelávaní, pričom minimálne v krajinách OECD sa dosiahnutie terciárnej úrovne vzdelania začína považovať za štandard</w:t>
      </w:r>
      <w:r>
        <w:rPr>
          <w:rStyle w:val="Znakapoznpodarou"/>
        </w:rPr>
        <w:footnoteReference w:id="25"/>
      </w:r>
      <w:r>
        <w:t>.</w:t>
      </w:r>
    </w:p>
    <w:p w14:paraId="01251D56" w14:textId="77777777" w:rsidR="00AC78DF" w:rsidRDefault="00AC78DF" w:rsidP="004635B8"/>
    <w:p w14:paraId="0B163E0B" w14:textId="77777777" w:rsidR="00957F77" w:rsidRPr="00555D1B" w:rsidRDefault="00957F77" w:rsidP="00715F57">
      <w:pPr>
        <w:pStyle w:val="Nadpis3"/>
        <w:rPr>
          <w:bCs/>
        </w:rPr>
      </w:pPr>
      <w:bookmarkStart w:id="13" w:name="_Toc500705994"/>
      <w:r>
        <w:t>2 Pozícia Slovenska</w:t>
      </w:r>
      <w:bookmarkEnd w:id="13"/>
    </w:p>
    <w:p w14:paraId="12C1F22B" w14:textId="6C18A0C8" w:rsidR="00085B2C" w:rsidRDefault="00085B2C" w:rsidP="00AC1332">
      <w:pPr>
        <w:rPr>
          <w:rFonts w:eastAsia="Calibri"/>
        </w:rPr>
      </w:pPr>
      <w:r>
        <w:t>V porovnaní s priemerom EÚ, Slovenská republika patrí medzi krajiny s nižšou mierou predčasného ukončenia školskej dochádzky</w:t>
      </w:r>
      <w:r>
        <w:rPr>
          <w:rStyle w:val="Znakapoznpodarou"/>
        </w:rPr>
        <w:footnoteReference w:id="26"/>
      </w:r>
      <w:r>
        <w:t xml:space="preserve">. Napriek tomu, že trend predčasného </w:t>
      </w:r>
      <w:r>
        <w:lastRenderedPageBreak/>
        <w:t>ukončovania školskej dochádzky u študentov vo veku 18-24 v období od roku 2010 mierne vzrástol</w:t>
      </w:r>
      <w:r w:rsidR="00AC1332">
        <w:t xml:space="preserve"> (Príloha 2, Graf 4) </w:t>
      </w:r>
      <w:r>
        <w:rPr>
          <w:rStyle w:val="Znakapoznpodarou"/>
        </w:rPr>
        <w:footnoteReference w:id="27"/>
      </w:r>
      <w:r>
        <w:t xml:space="preserve">, </w:t>
      </w:r>
      <w:r>
        <w:rPr>
          <w:rFonts w:eastAsia="Calibri"/>
        </w:rPr>
        <w:t>percento populácie s nižším ako základným alebo nižším stredným stupňom vzdelania (ISCED 1 a ISCED 2) klesá</w:t>
      </w:r>
      <w:r>
        <w:rPr>
          <w:rStyle w:val="Znakapoznpodarou"/>
          <w:rFonts w:eastAsia="Calibri"/>
          <w:szCs w:val="22"/>
        </w:rPr>
        <w:footnoteReference w:id="28"/>
      </w:r>
      <w:r>
        <w:rPr>
          <w:rFonts w:eastAsia="Calibri"/>
        </w:rPr>
        <w:t xml:space="preserve">. </w:t>
      </w:r>
    </w:p>
    <w:p w14:paraId="3574237A" w14:textId="0F91E200" w:rsidR="00085B2C" w:rsidRDefault="00085B2C" w:rsidP="00AC1332">
      <w:pPr>
        <w:rPr>
          <w:rFonts w:eastAsia="Calibri"/>
        </w:rPr>
      </w:pPr>
      <w:r>
        <w:rPr>
          <w:rFonts w:eastAsia="Calibri"/>
        </w:rPr>
        <w:t>Trend ďalších krajín</w:t>
      </w:r>
      <w:r w:rsidRPr="00E55711">
        <w:rPr>
          <w:rFonts w:eastAsia="Calibri"/>
        </w:rPr>
        <w:t xml:space="preserve"> OECD </w:t>
      </w:r>
      <w:r>
        <w:rPr>
          <w:rFonts w:eastAsia="Calibri"/>
        </w:rPr>
        <w:t>kopíruje</w:t>
      </w:r>
      <w:r w:rsidRPr="00E55711">
        <w:rPr>
          <w:rFonts w:eastAsia="Calibri"/>
        </w:rPr>
        <w:t xml:space="preserve"> </w:t>
      </w:r>
      <w:r w:rsidR="00332AC6">
        <w:rPr>
          <w:rFonts w:eastAsia="Calibri"/>
        </w:rPr>
        <w:t xml:space="preserve">aj </w:t>
      </w:r>
      <w:r w:rsidRPr="00E55711">
        <w:rPr>
          <w:rFonts w:eastAsia="Calibri"/>
        </w:rPr>
        <w:t xml:space="preserve">nárast populácie </w:t>
      </w:r>
      <w:r w:rsidR="00332AC6">
        <w:rPr>
          <w:rFonts w:eastAsia="Calibri"/>
        </w:rPr>
        <w:t xml:space="preserve">SR </w:t>
      </w:r>
      <w:r w:rsidRPr="00E55711">
        <w:rPr>
          <w:rFonts w:eastAsia="Calibri"/>
        </w:rPr>
        <w:t>s ukončeným tretím stupňom vzdelania</w:t>
      </w:r>
      <w:r w:rsidR="00AC1332">
        <w:rPr>
          <w:rFonts w:eastAsia="Calibri"/>
        </w:rPr>
        <w:t xml:space="preserve"> (Príloha 2, Graf 5)</w:t>
      </w:r>
      <w:r w:rsidRPr="00E55711">
        <w:rPr>
          <w:rFonts w:eastAsia="Calibri"/>
        </w:rPr>
        <w:t>. Napriek tomu,</w:t>
      </w:r>
      <w:r>
        <w:rPr>
          <w:rFonts w:eastAsia="Calibri"/>
        </w:rPr>
        <w:t xml:space="preserve"> že percento</w:t>
      </w:r>
      <w:r w:rsidRPr="00E55711">
        <w:rPr>
          <w:rFonts w:eastAsia="Calibri"/>
        </w:rPr>
        <w:t xml:space="preserve"> populácie v</w:t>
      </w:r>
      <w:r>
        <w:rPr>
          <w:rFonts w:eastAsia="Calibri"/>
        </w:rPr>
        <w:t xml:space="preserve"> SR s </w:t>
      </w:r>
      <w:r w:rsidRPr="00E55711">
        <w:rPr>
          <w:rFonts w:eastAsia="Calibri"/>
        </w:rPr>
        <w:t xml:space="preserve">ukončeným tretím stupňom vzdelania je </w:t>
      </w:r>
      <w:r>
        <w:rPr>
          <w:rFonts w:eastAsia="Calibri"/>
        </w:rPr>
        <w:t>stá</w:t>
      </w:r>
      <w:r w:rsidRPr="00E55711">
        <w:rPr>
          <w:rFonts w:eastAsia="Calibri"/>
        </w:rPr>
        <w:t xml:space="preserve">le pod priemerom </w:t>
      </w:r>
      <w:r>
        <w:rPr>
          <w:rFonts w:eastAsia="Calibri"/>
        </w:rPr>
        <w:t>krajín</w:t>
      </w:r>
      <w:r w:rsidRPr="00E55711">
        <w:rPr>
          <w:rFonts w:eastAsia="Calibri"/>
        </w:rPr>
        <w:t xml:space="preserve"> EÚ</w:t>
      </w:r>
      <w:r>
        <w:rPr>
          <w:rStyle w:val="Znakapoznpodarou"/>
          <w:rFonts w:eastAsia="Calibri"/>
          <w:szCs w:val="22"/>
        </w:rPr>
        <w:footnoteReference w:id="29"/>
      </w:r>
      <w:r w:rsidRPr="00E55711">
        <w:rPr>
          <w:rFonts w:eastAsia="Calibri"/>
        </w:rPr>
        <w:t xml:space="preserve"> ako </w:t>
      </w:r>
      <w:r>
        <w:rPr>
          <w:rFonts w:eastAsia="Calibri"/>
        </w:rPr>
        <w:t>i</w:t>
      </w:r>
      <w:r w:rsidRPr="00E55711">
        <w:rPr>
          <w:rFonts w:eastAsia="Calibri"/>
        </w:rPr>
        <w:t xml:space="preserve"> OECD, percento populácie s ukončeným tretím stupňom vzdelania podľa údajov Eurostat v období </w:t>
      </w:r>
      <w:r w:rsidRPr="009C41AD">
        <w:rPr>
          <w:rFonts w:eastAsia="Calibri"/>
        </w:rPr>
        <w:t>medzi 2002 a 2015 stúplo o 17,9 p.b</w:t>
      </w:r>
      <w:r w:rsidRPr="00E55711">
        <w:rPr>
          <w:rFonts w:eastAsia="Calibri"/>
        </w:rPr>
        <w:t>.</w:t>
      </w:r>
      <w:r>
        <w:rPr>
          <w:rFonts w:eastAsia="Calibri"/>
        </w:rPr>
        <w:t>, pričom rovnako ako v iných krajinách EÚ platí, že terciárne vzdelávanie ukončilo viac žien ako mužov</w:t>
      </w:r>
      <w:r>
        <w:rPr>
          <w:rStyle w:val="Znakapoznpodarou"/>
          <w:rFonts w:eastAsia="Calibri"/>
          <w:szCs w:val="22"/>
        </w:rPr>
        <w:footnoteReference w:id="30"/>
      </w:r>
      <w:r>
        <w:rPr>
          <w:rFonts w:eastAsia="Calibri"/>
        </w:rPr>
        <w:t xml:space="preserve">. </w:t>
      </w:r>
    </w:p>
    <w:p w14:paraId="4381E094" w14:textId="40BF39A3" w:rsidR="00085B2C" w:rsidRDefault="00085B2C" w:rsidP="00AC1332">
      <w:pPr>
        <w:rPr>
          <w:rFonts w:eastAsia="Calibri"/>
        </w:rPr>
      </w:pPr>
      <w:r>
        <w:rPr>
          <w:rFonts w:eastAsia="Calibri"/>
        </w:rPr>
        <w:t>Napriek tomu, že trendom v krajinách OECD je zvyšovanie účasti na celoživotnom vzdelávaní, Slovenská republika tento vývoj nekopíruje.</w:t>
      </w:r>
      <w:r>
        <w:rPr>
          <w:rStyle w:val="Znakapoznpodarou"/>
          <w:rFonts w:eastAsia="Calibri"/>
          <w:szCs w:val="22"/>
        </w:rPr>
        <w:footnoteReference w:id="31"/>
      </w:r>
    </w:p>
    <w:p w14:paraId="68915EC3" w14:textId="77777777" w:rsidR="00085B2C" w:rsidRPr="0084542A" w:rsidRDefault="00085B2C" w:rsidP="00AC1332">
      <w:pPr>
        <w:rPr>
          <w:rFonts w:eastAsia="Calibri"/>
        </w:rPr>
      </w:pPr>
      <w:r>
        <w:rPr>
          <w:rFonts w:eastAsia="Calibri"/>
        </w:rPr>
        <w:t xml:space="preserve">Nedostatočná účasť na programoch celoživotného vzdelávania a odbornej prípravy vplýva i na štruktúru trhu práce, ktorá je na Slovensku charakteristická vysokou mierou regionálnych </w:t>
      </w:r>
      <w:r w:rsidRPr="00F82B78">
        <w:rPr>
          <w:rFonts w:eastAsia="Calibri"/>
          <w:color w:val="auto"/>
        </w:rPr>
        <w:t>disparít.</w:t>
      </w:r>
      <w:r>
        <w:rPr>
          <w:rFonts w:eastAsia="Calibri"/>
          <w:color w:val="auto"/>
        </w:rPr>
        <w:t xml:space="preserve"> M</w:t>
      </w:r>
      <w:r>
        <w:rPr>
          <w:rFonts w:eastAsia="Calibri"/>
        </w:rPr>
        <w:t>ieru zamestnanosti, napriek kolísavému vývoju ovplyvnenému najmä globálnymi udalosťami, sa darí dlhodobo zvyšovať a približovať na úroveň priemeru EÚ</w:t>
      </w:r>
      <w:r w:rsidRPr="001360DC">
        <w:rPr>
          <w:rStyle w:val="Znakapoznpodarou"/>
          <w:rFonts w:eastAsia="Calibri"/>
          <w:color w:val="auto"/>
          <w:szCs w:val="22"/>
        </w:rPr>
        <w:footnoteReference w:id="32"/>
      </w:r>
      <w:r>
        <w:rPr>
          <w:rFonts w:eastAsia="Calibri"/>
          <w:color w:val="auto"/>
        </w:rPr>
        <w:t>. Avšak</w:t>
      </w:r>
      <w:r w:rsidRPr="001360DC">
        <w:rPr>
          <w:rFonts w:eastAsia="Calibri"/>
          <w:color w:val="auto"/>
        </w:rPr>
        <w:t xml:space="preserve"> </w:t>
      </w:r>
      <w:r>
        <w:rPr>
          <w:rFonts w:eastAsia="Calibri"/>
        </w:rPr>
        <w:t>miera dlhodobej nezamestnanosti, napriek jej klesajúcemu trendu</w:t>
      </w:r>
      <w:r>
        <w:rPr>
          <w:rStyle w:val="Znakapoznpodarou"/>
          <w:rFonts w:eastAsia="Calibri"/>
          <w:szCs w:val="22"/>
        </w:rPr>
        <w:footnoteReference w:id="33"/>
      </w:r>
      <w:r>
        <w:rPr>
          <w:rFonts w:eastAsia="Calibri"/>
        </w:rPr>
        <w:t xml:space="preserve">, dlhodobo prekračuje priemer EÚ a zostáva medzi </w:t>
      </w:r>
      <w:r w:rsidRPr="0084542A">
        <w:rPr>
          <w:rFonts w:eastAsia="Calibri"/>
        </w:rPr>
        <w:t>najvyššími v krajinách EÚ</w:t>
      </w:r>
      <w:r w:rsidRPr="0084542A">
        <w:rPr>
          <w:rStyle w:val="Znakapoznpodarou"/>
          <w:rFonts w:eastAsia="Calibri"/>
          <w:szCs w:val="22"/>
        </w:rPr>
        <w:footnoteReference w:id="34"/>
      </w:r>
      <w:r w:rsidRPr="0084542A">
        <w:rPr>
          <w:rFonts w:eastAsia="Calibri"/>
        </w:rPr>
        <w:t xml:space="preserve">. </w:t>
      </w:r>
    </w:p>
    <w:p w14:paraId="2BED463E" w14:textId="565C7CED" w:rsidR="00085B2C" w:rsidRPr="0084542A" w:rsidRDefault="00085B2C" w:rsidP="00775B20">
      <w:r w:rsidRPr="0084542A">
        <w:t>V súvislosti so zamestnávaním ľudí s nízkou mierou kvalifikácie je možné predpokladať negatívny trend, nakoľko štruktúra slovenského trhu práce je nepomerne orientovaná na priemysel, kde vládne výrazný trend automatizácie. Podľa odhadov OECD, v období nasledujúcich 10-20 rokov bude približne 10</w:t>
      </w:r>
      <w:r w:rsidR="00664F42">
        <w:t xml:space="preserve"> </w:t>
      </w:r>
      <w:r w:rsidRPr="0084542A">
        <w:t xml:space="preserve">% pracovných miest na Slovensku </w:t>
      </w:r>
      <w:r w:rsidR="00775B20">
        <w:t>ohrozených</w:t>
      </w:r>
      <w:r w:rsidRPr="0084542A">
        <w:t xml:space="preserve"> automati</w:t>
      </w:r>
      <w:r w:rsidR="00332AC6">
        <w:t>záciou</w:t>
      </w:r>
      <w:r w:rsidRPr="0084542A">
        <w:t xml:space="preserve"> a ďalších približne 30</w:t>
      </w:r>
      <w:r w:rsidR="00664F42">
        <w:t xml:space="preserve"> </w:t>
      </w:r>
      <w:r w:rsidRPr="0084542A">
        <w:t>% bude významne zmenených smerom ku zvýšeniu nárokov na odbornosť zamestnanca</w:t>
      </w:r>
      <w:r w:rsidRPr="0084542A">
        <w:rPr>
          <w:rStyle w:val="Znakapoznpodarou"/>
          <w:szCs w:val="22"/>
        </w:rPr>
        <w:footnoteReference w:id="35"/>
      </w:r>
      <w:r w:rsidRPr="0084542A">
        <w:t>.</w:t>
      </w:r>
    </w:p>
    <w:p w14:paraId="19847F59" w14:textId="5F5920A9" w:rsidR="00957F77" w:rsidRPr="00024B70" w:rsidRDefault="00085B2C" w:rsidP="004635B8">
      <w:pPr>
        <w:rPr>
          <w:rFonts w:eastAsia="Calibri"/>
        </w:rPr>
      </w:pPr>
      <w:r w:rsidRPr="0084542A">
        <w:rPr>
          <w:rFonts w:eastAsia="Calibri"/>
        </w:rPr>
        <w:t xml:space="preserve">Dlhodobá neschopnosť vytvoriť podmienky </w:t>
      </w:r>
      <w:r w:rsidR="00775B20">
        <w:rPr>
          <w:rFonts w:eastAsia="Calibri"/>
        </w:rPr>
        <w:t>pre prístup ku kvalitnému vzdeláva</w:t>
      </w:r>
      <w:r w:rsidRPr="0084542A">
        <w:rPr>
          <w:rFonts w:eastAsia="Calibri"/>
        </w:rPr>
        <w:t>niu a následne vstup na trh práce pre všetky skupiny obyvateľov znamená plytvanie ľudským potenciálom ako i zníženie sociálnej mobility a prehlbovanie príjmových nerovností, ktoré sú považované za faktor brzdiaci ekonomicky rast</w:t>
      </w:r>
      <w:r w:rsidRPr="0084542A">
        <w:rPr>
          <w:rStyle w:val="Znakapoznpodarou"/>
          <w:rFonts w:eastAsia="Calibri"/>
          <w:szCs w:val="22"/>
        </w:rPr>
        <w:footnoteReference w:id="36"/>
      </w:r>
      <w:r w:rsidRPr="0084542A">
        <w:rPr>
          <w:rFonts w:eastAsia="Calibri"/>
        </w:rPr>
        <w:t>.</w:t>
      </w:r>
    </w:p>
    <w:p w14:paraId="059353F0" w14:textId="3BA25161" w:rsidR="00957F77" w:rsidRPr="000166D1" w:rsidRDefault="00957F77" w:rsidP="00715F57">
      <w:pPr>
        <w:pStyle w:val="Nadpis3"/>
        <w:rPr>
          <w:bCs/>
        </w:rPr>
      </w:pPr>
      <w:bookmarkStart w:id="15" w:name="_Toc500705995"/>
      <w:r>
        <w:lastRenderedPageBreak/>
        <w:t xml:space="preserve">3 </w:t>
      </w:r>
      <w:r w:rsidR="000550B0">
        <w:t>Analýza medzery</w:t>
      </w:r>
      <w:bookmarkEnd w:id="15"/>
    </w:p>
    <w:p w14:paraId="23D87E5A" w14:textId="77777777" w:rsidR="00085B2C" w:rsidRPr="0084542A" w:rsidRDefault="00085B2C" w:rsidP="00AC1332">
      <w:r w:rsidRPr="0084542A">
        <w:t>Podľa analýzy IFP</w:t>
      </w:r>
      <w:r w:rsidRPr="0084542A">
        <w:rPr>
          <w:rStyle w:val="Znakapoznpodarou"/>
        </w:rPr>
        <w:footnoteReference w:id="37"/>
      </w:r>
      <w:r w:rsidRPr="0084542A">
        <w:t>, založenej na porovnávaní výsledkových ukazovateľov Slovenskej republiky oproti priemeru EÚ alebo OECD, za najväčšie výzvy pre Slovensko možno považovať kvalitu základného školstva a trh práce.</w:t>
      </w:r>
    </w:p>
    <w:p w14:paraId="437404C8" w14:textId="2B4F0B68" w:rsidR="00085B2C" w:rsidRPr="0084542A" w:rsidRDefault="00085B2C" w:rsidP="00010F43">
      <w:r w:rsidRPr="0084542A">
        <w:t>V medzinárodnom porovnaní výsledkov testovania 15-ročných žiakov PISA, Slovensko dlhodobo zaostáva a vykazuje podpriemerné a zhoršujúce sa výsledky, nie len v porovnaní s priemerom OECD, ale i krajinami regiónu</w:t>
      </w:r>
      <w:r w:rsidRPr="0084542A">
        <w:rPr>
          <w:rStyle w:val="Znakapoznpodarou"/>
        </w:rPr>
        <w:footnoteReference w:id="38"/>
      </w:r>
      <w:r w:rsidRPr="0084542A">
        <w:t xml:space="preserve">. </w:t>
      </w:r>
      <w:r w:rsidRPr="0084542A">
        <w:rPr>
          <w:rFonts w:eastAsia="Calibri"/>
        </w:rPr>
        <w:t>Podľa viacerých expertných vyjadrení ako i samotného analytického hodnotenia indexu PISA</w:t>
      </w:r>
      <w:r w:rsidRPr="0084542A">
        <w:rPr>
          <w:rStyle w:val="Znakapoznpodarou"/>
        </w:rPr>
        <w:footnoteReference w:id="39"/>
      </w:r>
      <w:r w:rsidRPr="0084542A">
        <w:rPr>
          <w:rFonts w:eastAsia="Calibri"/>
        </w:rPr>
        <w:t>, výsledky testovania sú výrazne podmienené sociálno-ekonomick</w:t>
      </w:r>
      <w:r w:rsidR="00010F43">
        <w:rPr>
          <w:rFonts w:eastAsia="Calibri"/>
        </w:rPr>
        <w:t>ým zázemím testovaných žiakov.</w:t>
      </w:r>
      <w:r w:rsidRPr="0084542A">
        <w:t xml:space="preserve"> Je možné konštatovať, že Slovensko patrí ku krajinám, kde má sociálno-ekonomické pozadie žiakov </w:t>
      </w:r>
      <w:r w:rsidR="00010F43">
        <w:t>vysoký</w:t>
      </w:r>
      <w:r w:rsidRPr="0084542A">
        <w:t xml:space="preserve"> vplyv na ich študijné výsledky</w:t>
      </w:r>
      <w:r w:rsidRPr="0084542A">
        <w:rPr>
          <w:i/>
        </w:rPr>
        <w:t xml:space="preserve">. </w:t>
      </w:r>
      <w:r w:rsidRPr="0084542A">
        <w:t xml:space="preserve">Uvedené tvrdenia potvrdzujú i výsledky celoslovenského testovania </w:t>
      </w:r>
      <w:r w:rsidRPr="0084542A">
        <w:rPr>
          <w:rFonts w:eastAsia="Calibri"/>
        </w:rPr>
        <w:t>žiakov 9. ročníka základných škôl</w:t>
      </w:r>
      <w:r w:rsidRPr="0084542A">
        <w:rPr>
          <w:rStyle w:val="Znakapoznpodarou"/>
          <w:rFonts w:eastAsia="Calibri"/>
        </w:rPr>
        <w:footnoteReference w:id="40"/>
      </w:r>
      <w:r w:rsidRPr="0084542A">
        <w:rPr>
          <w:rFonts w:eastAsia="Calibri"/>
        </w:rPr>
        <w:t xml:space="preserve"> a počty žiakov opakujúcich ročník</w:t>
      </w:r>
      <w:r w:rsidRPr="0084542A">
        <w:rPr>
          <w:rStyle w:val="Znakapoznpodarou"/>
          <w:rFonts w:eastAsia="Calibri"/>
        </w:rPr>
        <w:footnoteReference w:id="41"/>
      </w:r>
      <w:r w:rsidRPr="0084542A">
        <w:rPr>
          <w:rFonts w:eastAsia="Calibri"/>
        </w:rPr>
        <w:t xml:space="preserve">, kde najhoršie výsledky každoročne dosahujú žiaci z okresov s najvyššou mierou nezamestnanosti a relatívnej chudoby.  </w:t>
      </w:r>
    </w:p>
    <w:p w14:paraId="54E84E70" w14:textId="1CDDC793" w:rsidR="00085B2C" w:rsidRPr="0084542A" w:rsidRDefault="00085B2C" w:rsidP="00AC1332">
      <w:r w:rsidRPr="0084542A">
        <w:rPr>
          <w:rFonts w:eastAsia="Calibri"/>
        </w:rPr>
        <w:t xml:space="preserve">Ako je uvedené v záverečnej správe hodnotenia príspevku </w:t>
      </w:r>
      <w:r w:rsidR="00080499">
        <w:rPr>
          <w:rFonts w:eastAsia="Calibri"/>
        </w:rPr>
        <w:t xml:space="preserve">SR k plneniu stratégie Európa </w:t>
      </w:r>
      <w:r w:rsidRPr="00080499">
        <w:rPr>
          <w:rFonts w:eastAsia="Calibri"/>
        </w:rPr>
        <w:t>2020</w:t>
      </w:r>
      <w:r w:rsidRPr="0084542A">
        <w:rPr>
          <w:rStyle w:val="Znakapoznpodarou"/>
          <w:rFonts w:eastAsia="Calibri"/>
        </w:rPr>
        <w:footnoteReference w:id="42"/>
      </w:r>
      <w:r w:rsidRPr="0084542A">
        <w:rPr>
          <w:rFonts w:eastAsia="Calibri"/>
        </w:rPr>
        <w:t xml:space="preserve"> „</w:t>
      </w:r>
      <w:r w:rsidRPr="0084542A">
        <w:rPr>
          <w:rFonts w:eastAsia="Calibri"/>
          <w:i/>
        </w:rPr>
        <w:t>Problé</w:t>
      </w:r>
      <w:r>
        <w:rPr>
          <w:rFonts w:eastAsia="Calibri"/>
          <w:i/>
        </w:rPr>
        <w:t>my v oblasti vzdelávania sú</w:t>
      </w:r>
      <w:r w:rsidRPr="0084542A">
        <w:rPr>
          <w:rFonts w:eastAsia="Calibri"/>
          <w:i/>
        </w:rPr>
        <w:t xml:space="preserve"> výrazne korelované s problémami v oblasti sociálnej inklúzie. Nie je možné naplniť ciele inteligentného a udržateľného</w:t>
      </w:r>
      <w:r w:rsidRPr="0084542A">
        <w:rPr>
          <w:i/>
        </w:rPr>
        <w:t xml:space="preserve"> rastu bez naplnenia cieľov v oblasti inkluzívneho rastu</w:t>
      </w:r>
      <w:r w:rsidRPr="0084542A">
        <w:t>“.</w:t>
      </w:r>
    </w:p>
    <w:p w14:paraId="6F15FA19" w14:textId="0A1A5C32" w:rsidR="00085B2C" w:rsidRPr="0084542A" w:rsidRDefault="00085B2C" w:rsidP="00AC1332">
      <w:r>
        <w:t xml:space="preserve">Nízku kvalitu vzdelávacieho systému potvrdzujú i výsledky </w:t>
      </w:r>
      <w:r w:rsidRPr="0084542A">
        <w:t xml:space="preserve">Global Competitive Index pripravovaného Svetovým ekonomickým fórom, </w:t>
      </w:r>
      <w:r>
        <w:t xml:space="preserve">v rámci ktorého bola </w:t>
      </w:r>
      <w:r w:rsidRPr="0084542A">
        <w:t>kv</w:t>
      </w:r>
      <w:r>
        <w:t>alita vzdelávacieho systému ohodnotená</w:t>
      </w:r>
      <w:r w:rsidRPr="0084542A">
        <w:t xml:space="preserve"> na 118</w:t>
      </w:r>
      <w:r w:rsidR="00E83DA3">
        <w:t>.</w:t>
      </w:r>
      <w:r w:rsidRPr="0084542A">
        <w:t xml:space="preserve"> miesto z možných 137 a nedostatočná pripravenosť pracovnej sily bola uvedená medzi hlavné prekážky úspešného podnikania na Slovensku</w:t>
      </w:r>
      <w:r w:rsidRPr="0084542A">
        <w:rPr>
          <w:rStyle w:val="Znakapoznpodarou"/>
        </w:rPr>
        <w:footnoteReference w:id="43"/>
      </w:r>
      <w:r w:rsidRPr="0084542A">
        <w:t xml:space="preserve">. </w:t>
      </w:r>
    </w:p>
    <w:p w14:paraId="39288200" w14:textId="77777777" w:rsidR="00085B2C" w:rsidRPr="0084542A" w:rsidRDefault="00085B2C" w:rsidP="00AC1332">
      <w:r w:rsidRPr="0084542A">
        <w:t xml:space="preserve">Neuspokojivé výsledky v oblasti vzdelávania majú významný vplyv na štruktúru pracovnej sily a trhu práce v krajine. Napriek mierne stúpajúcej miere zamestnanosti v krajine, výzvou stále zostáva vysoká miera dlhodobej nezamestnanosti (12 mesiacov a viac) a pracovné príležitosti pre ľudí s nízkou mierou kvalifikácie. V oblasti dlhodobej nezamestnanosti Slovensko v porovnaní s krajinami EÚ </w:t>
      </w:r>
      <w:r>
        <w:t xml:space="preserve">dlhodobo </w:t>
      </w:r>
      <w:r w:rsidRPr="0084542A">
        <w:t>vykazuje nadpriemerné hodnoty</w:t>
      </w:r>
      <w:r w:rsidRPr="0084542A">
        <w:rPr>
          <w:rStyle w:val="Znakapoznpodarou"/>
        </w:rPr>
        <w:footnoteReference w:id="44"/>
      </w:r>
      <w:r>
        <w:t xml:space="preserve"> a</w:t>
      </w:r>
      <w:r w:rsidRPr="0084542A">
        <w:t xml:space="preserve"> v oblasti zamestnanosti ľudí s nízkou mierou kvalifikácie Slovensko v porovnaní s priemerom EÚ </w:t>
      </w:r>
      <w:r>
        <w:t xml:space="preserve">v roku 2016 </w:t>
      </w:r>
      <w:r w:rsidRPr="0084542A">
        <w:t>vykazo</w:t>
      </w:r>
      <w:r>
        <w:t>valo štvornásobne nižšiu úroveň</w:t>
      </w:r>
      <w:r w:rsidRPr="0084542A">
        <w:rPr>
          <w:rStyle w:val="Znakapoznpodarou"/>
        </w:rPr>
        <w:footnoteReference w:id="45"/>
      </w:r>
      <w:r w:rsidRPr="0084542A">
        <w:t xml:space="preserve">.  </w:t>
      </w:r>
    </w:p>
    <w:p w14:paraId="621009A6" w14:textId="52F92EA8" w:rsidR="00085B2C" w:rsidRDefault="00085B2C" w:rsidP="00085B2C">
      <w:pPr>
        <w:rPr>
          <w:szCs w:val="22"/>
        </w:rPr>
      </w:pPr>
      <w:r w:rsidRPr="0084542A">
        <w:t xml:space="preserve">V roku 2017 Slovensko dosiahlo historicky najnižšiu mieru registrovanej nezamestnanosti, kedy </w:t>
      </w:r>
      <w:r>
        <w:t>táto klesla na</w:t>
      </w:r>
      <w:r w:rsidRPr="0084542A">
        <w:t xml:space="preserve"> úroveň 6,14</w:t>
      </w:r>
      <w:r w:rsidR="00664F42">
        <w:t xml:space="preserve"> </w:t>
      </w:r>
      <w:r w:rsidRPr="0084542A">
        <w:t>%</w:t>
      </w:r>
      <w:r w:rsidRPr="0084542A">
        <w:rPr>
          <w:rStyle w:val="Znakapoznpodarou"/>
        </w:rPr>
        <w:footnoteReference w:id="46"/>
      </w:r>
      <w:r w:rsidRPr="0084542A">
        <w:t>, čím sa</w:t>
      </w:r>
      <w:r>
        <w:t xml:space="preserve"> Slovensko</w:t>
      </w:r>
      <w:r w:rsidRPr="0084542A">
        <w:t xml:space="preserve"> posunulo k </w:t>
      </w:r>
      <w:r w:rsidRPr="0034078C">
        <w:rPr>
          <w:szCs w:val="22"/>
        </w:rPr>
        <w:t xml:space="preserve">priemeru registrovanej </w:t>
      </w:r>
      <w:r w:rsidRPr="0034078C">
        <w:rPr>
          <w:szCs w:val="22"/>
        </w:rPr>
        <w:lastRenderedPageBreak/>
        <w:t>nezamestnanosti v krajinách EÚ</w:t>
      </w:r>
      <w:r w:rsidRPr="0034078C">
        <w:rPr>
          <w:rStyle w:val="Znakapoznpodarou"/>
          <w:szCs w:val="22"/>
        </w:rPr>
        <w:footnoteReference w:id="47"/>
      </w:r>
      <w:r w:rsidRPr="0034078C">
        <w:rPr>
          <w:szCs w:val="22"/>
        </w:rPr>
        <w:t xml:space="preserve">. </w:t>
      </w:r>
      <w:r>
        <w:rPr>
          <w:szCs w:val="22"/>
        </w:rPr>
        <w:t>S</w:t>
      </w:r>
      <w:r w:rsidRPr="0034078C">
        <w:rPr>
          <w:szCs w:val="22"/>
        </w:rPr>
        <w:t xml:space="preserve">lovenský trh práce aktuálne trpí problémami </w:t>
      </w:r>
      <w:r w:rsidR="00204F4B" w:rsidRPr="0034078C">
        <w:rPr>
          <w:szCs w:val="22"/>
        </w:rPr>
        <w:t>štrukturálnej</w:t>
      </w:r>
      <w:r w:rsidRPr="0034078C">
        <w:rPr>
          <w:szCs w:val="22"/>
        </w:rPr>
        <w:t xml:space="preserve"> nezamestnanosti, ke</w:t>
      </w:r>
      <w:r>
        <w:rPr>
          <w:szCs w:val="22"/>
        </w:rPr>
        <w:t>dy ponuka pracovnej sily nekoreš</w:t>
      </w:r>
      <w:r w:rsidRPr="0034078C">
        <w:rPr>
          <w:szCs w:val="22"/>
        </w:rPr>
        <w:t>ponduje s dopytom. Problémom je však i kvalita pracovných mie</w:t>
      </w:r>
      <w:r>
        <w:rPr>
          <w:szCs w:val="22"/>
        </w:rPr>
        <w:t>st, ktorá v ostatnom období ustu</w:t>
      </w:r>
      <w:r w:rsidRPr="0034078C">
        <w:rPr>
          <w:szCs w:val="22"/>
        </w:rPr>
        <w:t>povala orientácii na kvantitu vytvorených pracovných príležitostí. Podľa metodiky hodnoteni</w:t>
      </w:r>
      <w:r w:rsidR="00E83DA3">
        <w:rPr>
          <w:szCs w:val="22"/>
        </w:rPr>
        <w:t>a</w:t>
      </w:r>
      <w:r w:rsidRPr="0034078C">
        <w:rPr>
          <w:szCs w:val="22"/>
        </w:rPr>
        <w:t xml:space="preserve"> kvality pracovných miest uplatňovanej OECD, Slovensko patrí do kategórie krajín  vykazujúcich najhoršie hodnoty</w:t>
      </w:r>
      <w:r w:rsidRPr="0034078C">
        <w:rPr>
          <w:rStyle w:val="Znakapoznpodarou"/>
          <w:szCs w:val="22"/>
        </w:rPr>
        <w:footnoteReference w:id="48"/>
      </w:r>
      <w:r w:rsidRPr="0034078C">
        <w:rPr>
          <w:szCs w:val="22"/>
        </w:rPr>
        <w:t xml:space="preserve">. </w:t>
      </w:r>
    </w:p>
    <w:p w14:paraId="1C4F025E" w14:textId="1E5ADAA4" w:rsidR="00085B2C" w:rsidRDefault="00085B2C" w:rsidP="00085B2C">
      <w:pPr>
        <w:rPr>
          <w:rFonts w:eastAsia="Calibri"/>
          <w:szCs w:val="22"/>
        </w:rPr>
      </w:pPr>
      <w:r>
        <w:rPr>
          <w:szCs w:val="22"/>
        </w:rPr>
        <w:t xml:space="preserve">K riešeniu problémov </w:t>
      </w:r>
      <w:r w:rsidR="00204F4B">
        <w:rPr>
          <w:szCs w:val="22"/>
        </w:rPr>
        <w:t>štrukturálnej</w:t>
      </w:r>
      <w:r>
        <w:rPr>
          <w:szCs w:val="22"/>
        </w:rPr>
        <w:t xml:space="preserve"> nezamestnanosti a vylúčenosti z trhu práce môže prispievať kvalitný systém celoživotného vzdelávania a verejných služieb zamestnanosti. V prípade oboch Slovensko zaostáva v porovnaní s priemerom EÚ ako i OECD.  </w:t>
      </w:r>
      <w:r>
        <w:rPr>
          <w:rFonts w:eastAsia="Calibri"/>
          <w:szCs w:val="22"/>
        </w:rPr>
        <w:t>Miera účasti dospelej populácie na celoživotnom vzdelávaní patrí medzi najnižšie tak medzi krajinami EÚ</w:t>
      </w:r>
      <w:r>
        <w:rPr>
          <w:rStyle w:val="Znakapoznpodarou"/>
          <w:rFonts w:eastAsia="Calibri"/>
          <w:szCs w:val="22"/>
        </w:rPr>
        <w:footnoteReference w:id="49"/>
      </w:r>
      <w:r>
        <w:rPr>
          <w:rFonts w:eastAsia="Calibri"/>
          <w:szCs w:val="22"/>
        </w:rPr>
        <w:t xml:space="preserve"> ako i OECD</w:t>
      </w:r>
      <w:r>
        <w:rPr>
          <w:rStyle w:val="Znakapoznpodarou"/>
          <w:rFonts w:eastAsia="Calibri"/>
          <w:szCs w:val="22"/>
        </w:rPr>
        <w:footnoteReference w:id="50"/>
      </w:r>
      <w:r>
        <w:rPr>
          <w:rFonts w:eastAsia="Calibri"/>
          <w:szCs w:val="22"/>
        </w:rPr>
        <w:t>, podobné výsledky sú</w:t>
      </w:r>
      <w:r w:rsidR="00940696">
        <w:rPr>
          <w:rFonts w:eastAsia="Calibri"/>
          <w:szCs w:val="22"/>
        </w:rPr>
        <w:t xml:space="preserve"> vykazované</w:t>
      </w:r>
      <w:r>
        <w:rPr>
          <w:rFonts w:eastAsia="Calibri"/>
          <w:szCs w:val="22"/>
        </w:rPr>
        <w:t xml:space="preserve"> i v súvislosti s účasťou na odbornom vzdelávaní a príprave</w:t>
      </w:r>
      <w:r>
        <w:rPr>
          <w:rStyle w:val="Znakapoznpodarou"/>
          <w:rFonts w:eastAsia="Calibri"/>
          <w:szCs w:val="22"/>
        </w:rPr>
        <w:footnoteReference w:id="51"/>
      </w:r>
      <w:r>
        <w:rPr>
          <w:rFonts w:eastAsia="Calibri"/>
          <w:szCs w:val="22"/>
        </w:rPr>
        <w:t xml:space="preserve">, kde v porovnaní s krajinami OECD, Slovensko patrí medzi krajiny s najnižšou účasťou ľudí vo veku nad 20 rokov. </w:t>
      </w:r>
    </w:p>
    <w:p w14:paraId="1E1A9A8E" w14:textId="422A86DD" w:rsidR="00085B2C" w:rsidRPr="0034078C" w:rsidRDefault="00085B2C" w:rsidP="00940696">
      <w:pPr>
        <w:rPr>
          <w:szCs w:val="22"/>
        </w:rPr>
      </w:pPr>
      <w:r>
        <w:rPr>
          <w:rFonts w:eastAsia="Calibri"/>
          <w:szCs w:val="22"/>
        </w:rPr>
        <w:t>Výrazné príležitosti pre ďalšie vzdelávanie a získavanie nových zručnosti neponúka ani existujúci systém verejných služieb zamestnanosti, ktorý je v porovnaní s krajinami OECD dlhodobo podfinancovaný</w:t>
      </w:r>
      <w:r>
        <w:rPr>
          <w:rStyle w:val="Znakapoznpodarou"/>
          <w:rFonts w:eastAsia="Calibri"/>
          <w:szCs w:val="22"/>
        </w:rPr>
        <w:footnoteReference w:id="52"/>
      </w:r>
      <w:r>
        <w:rPr>
          <w:rFonts w:eastAsia="Calibri"/>
          <w:szCs w:val="22"/>
        </w:rPr>
        <w:t xml:space="preserve">. Špecifikom štruktúry výdavkov na aktívne opatrenia trhu práce je silná orientácia na tzv. dopytové opatrenia, medzi ktoré patrí napr. priama finančná podpora tvorby a udržania pracovného miesta (najmä vo forme priamej dotácie mzdy zamestnanca), na úkor tzv. </w:t>
      </w:r>
      <w:r w:rsidR="00940696">
        <w:rPr>
          <w:rFonts w:eastAsia="Calibri"/>
          <w:szCs w:val="22"/>
        </w:rPr>
        <w:t>ponukov</w:t>
      </w:r>
      <w:r>
        <w:rPr>
          <w:rFonts w:eastAsia="Calibri"/>
          <w:szCs w:val="22"/>
        </w:rPr>
        <w:t>ých opatrení, ktoré sú charakteristické orientáciou na vzdelávanie a rekvalifikáci</w:t>
      </w:r>
      <w:r w:rsidR="00940696">
        <w:rPr>
          <w:rFonts w:eastAsia="Calibri"/>
          <w:szCs w:val="22"/>
        </w:rPr>
        <w:t>u</w:t>
      </w:r>
      <w:r>
        <w:rPr>
          <w:rStyle w:val="Znakapoznpodarou"/>
          <w:rFonts w:eastAsia="Calibri"/>
          <w:szCs w:val="22"/>
        </w:rPr>
        <w:footnoteReference w:id="53"/>
      </w:r>
      <w:r>
        <w:rPr>
          <w:rFonts w:eastAsia="Calibri"/>
          <w:szCs w:val="22"/>
        </w:rPr>
        <w:t>. Na základe medzinárodných kvalitatívnych porovnaní, zaostáva i kvalita výkonu verejných služieb zamestnanosti zameraných na vyhľadávanie pracovného miesta a poskytovanie podpory pri udržaní pracovného miesta. V prípade skvalitnenia týchto služieb by mohli byť prekonané i ťažkosti v období tranzície zo vzdelávacieho systému na trh práce, ktoré sa v Slovenskej republike prejavujú zvýšenou mierou nezamestnanosti mladých ľudí.</w:t>
      </w:r>
    </w:p>
    <w:p w14:paraId="71312633" w14:textId="50D185A5" w:rsidR="00957F77" w:rsidRDefault="00085B2C" w:rsidP="004635B8">
      <w:pPr>
        <w:rPr>
          <w:szCs w:val="22"/>
        </w:rPr>
      </w:pPr>
      <w:r w:rsidRPr="0034078C">
        <w:rPr>
          <w:szCs w:val="22"/>
        </w:rPr>
        <w:t>Výzvo</w:t>
      </w:r>
      <w:r>
        <w:rPr>
          <w:szCs w:val="22"/>
        </w:rPr>
        <w:t xml:space="preserve">u zostáva odchod kvalifikovanej pracovnej sily a odliv mozgov do zahraničia. Podľa odhadov Inštitútu pre finančnú politiku, </w:t>
      </w:r>
      <w:r>
        <w:t>v období 2010 až 2013 odišiel do zahraničia viac ako každý desiaty končiaci vysokoškolák denného štúdia, pričom najčastejšie odchádzajú absolventi lekárskych a technických fakúlt</w:t>
      </w:r>
      <w:r>
        <w:rPr>
          <w:rStyle w:val="Znakapoznpodarou"/>
        </w:rPr>
        <w:footnoteReference w:id="54"/>
      </w:r>
      <w:r>
        <w:t xml:space="preserve">. </w:t>
      </w:r>
      <w:r>
        <w:rPr>
          <w:szCs w:val="22"/>
        </w:rPr>
        <w:t>Slovensko dlhodobo nepatrí medzi krajiny, ktoré dokážu prilákať a udržať vysokokvalifikovaných a talentovaných jednotlivcov. Podľa Global Competetiveness Index, kapacita krajiny udržať talenty je na 125. priečke z možných 137 a kapacita krajina prilákať talenty bola ohodnotená na 130 z možných 137 priečok</w:t>
      </w:r>
      <w:r>
        <w:rPr>
          <w:rStyle w:val="Znakapoznpodarou"/>
          <w:szCs w:val="22"/>
        </w:rPr>
        <w:footnoteReference w:id="55"/>
      </w:r>
      <w:r>
        <w:rPr>
          <w:szCs w:val="22"/>
        </w:rPr>
        <w:t xml:space="preserve">. </w:t>
      </w:r>
    </w:p>
    <w:p w14:paraId="1FD52916" w14:textId="73310358" w:rsidR="003C02B1" w:rsidRDefault="00957F77" w:rsidP="003C02B1">
      <w:pPr>
        <w:pStyle w:val="Nadpis3"/>
      </w:pPr>
      <w:bookmarkStart w:id="22" w:name="_Toc500705996"/>
      <w:r>
        <w:lastRenderedPageBreak/>
        <w:t xml:space="preserve">4 </w:t>
      </w:r>
      <w:r w:rsidR="003C02B1">
        <w:t>S</w:t>
      </w:r>
      <w:r w:rsidR="003C02B1" w:rsidRPr="000166D1">
        <w:t xml:space="preserve">tručný prehľad existujúcich </w:t>
      </w:r>
      <w:r w:rsidR="003C02B1">
        <w:t>dlhodobých stratégií</w:t>
      </w:r>
      <w:r w:rsidR="003C02B1" w:rsidRPr="000166D1">
        <w:t xml:space="preserve"> SR </w:t>
      </w:r>
      <w:r w:rsidR="003C02B1">
        <w:t>v danej téme</w:t>
      </w:r>
      <w:bookmarkEnd w:id="22"/>
    </w:p>
    <w:p w14:paraId="23FD4B58" w14:textId="28782B89" w:rsidR="00085B2C" w:rsidRDefault="00085B2C" w:rsidP="00010F43">
      <w:r>
        <w:t>Dlhodobá stratégia podpory vzdelávania alebo zamestnanosti s výhľadom do roku 2030 neexistuje. V oblasti vzdelávania prebieha diskusia ku prijatiu strategického dokumentu s</w:t>
      </w:r>
      <w:r w:rsidR="00010F43">
        <w:t> </w:t>
      </w:r>
      <w:r>
        <w:t>názvom</w:t>
      </w:r>
      <w:r w:rsidR="00010F43">
        <w:t xml:space="preserve"> „Učiace sa Slovensko“, ktorý je podkladovým </w:t>
      </w:r>
      <w:r w:rsidR="00010F43" w:rsidRPr="00010F43">
        <w:t>dokumentom pre tvorbu Národného programu rozvoja výchovy a vzdelávania</w:t>
      </w:r>
      <w:r w:rsidRPr="00010F43">
        <w:t>. Tento vzniká na základe téz pre oblasť</w:t>
      </w:r>
      <w:r w:rsidRPr="00A84035">
        <w:t xml:space="preserve"> regionálneho a vysokého školstva</w:t>
      </w:r>
      <w:r>
        <w:t xml:space="preserve">, širokej odbornej ako i verejnej diskusie a má ambíciu sa stať východiskom </w:t>
      </w:r>
      <w:r w:rsidRPr="00A84035">
        <w:t>pre uskutočn</w:t>
      </w:r>
      <w:r>
        <w:t xml:space="preserve">enie zásadnej reformy školstva realizovanej v období do roku 2027. Okrem uvedeného dokumentu, ktorý nebol doposiaľ predstavený ako základný strategický rámec pre rozvoj vzdelávania, neexistujú iné dokumenty so zameraním na dlhodobý výhľad pripravené pod gesciou rezortu školstva. Na absenciu dlhodobej vízie rozvoja vzdelávania reagujú viaceré občianske iniciatívy, ktoré sa snažia stimulovať odbornú diskusiu o strategickom smerovaní vzdelávania. </w:t>
      </w:r>
    </w:p>
    <w:p w14:paraId="47403D1E" w14:textId="098E4417" w:rsidR="00085B2C" w:rsidRDefault="00085B2C" w:rsidP="00085B2C">
      <w:r>
        <w:t xml:space="preserve">V súvislosti so vzdelávaním detí z prostredia marginalizovaných rómskych komunít, ktoré predstavujú jednu z najohrozenejších skupín v slovenskom systéme vzdelávania, je za relevantný možné považovať dokument „Stratégia Slovenskej republiky pre integráciu Rómov do roku 2020“. Tento vznikol na podnet Európskej únie ako </w:t>
      </w:r>
      <w:r w:rsidR="007506AC">
        <w:t>„</w:t>
      </w:r>
      <w:r>
        <w:t>ex-ante kondicionalita</w:t>
      </w:r>
      <w:r w:rsidR="007506AC">
        <w:t>“</w:t>
      </w:r>
      <w:r>
        <w:t xml:space="preserve"> čerpania finančných prostriedkov európskeho spoločenstva. Dokument sa okrem témy vzdelávania sústreďuje i na ďalšie oblasti integrácie Rómov, medzi ktoré patrí i oblasť zamestnanosti a zamestnateľnosti.</w:t>
      </w:r>
    </w:p>
    <w:p w14:paraId="603272A5" w14:textId="3198C1E2" w:rsidR="00957F77" w:rsidRPr="00E6350E" w:rsidRDefault="00085B2C" w:rsidP="004635B8">
      <w:pPr>
        <w:rPr>
          <w:rFonts w:asciiTheme="majorBidi" w:hAnsiTheme="majorBidi" w:cstheme="majorBidi"/>
          <w:color w:val="auto"/>
        </w:rPr>
      </w:pPr>
      <w:r w:rsidRPr="00E6350E">
        <w:rPr>
          <w:rFonts w:asciiTheme="majorBidi" w:hAnsiTheme="majorBidi" w:cstheme="majorBidi"/>
          <w:color w:val="auto"/>
        </w:rPr>
        <w:t xml:space="preserve">Samostatný strategický dokument v téme zamestnania je „Národná stratégia zamestnanosti Slovenskej republiky do roku 2020“. Hlavným cieľom stratégie je, okrem dosiahnutia 72% zamestnanosti v roku 2020, zlepšenie životných podmienok pracujúcich ľudí a zníženie dlhodobej nezamestnanosti. </w:t>
      </w:r>
    </w:p>
    <w:p w14:paraId="12755318" w14:textId="77777777" w:rsidR="007564DC" w:rsidRDefault="007564DC">
      <w:pPr>
        <w:spacing w:after="0"/>
        <w:jc w:val="left"/>
        <w:rPr>
          <w:rFonts w:eastAsiaTheme="majorEastAsia"/>
          <w:b/>
          <w:bCs w:val="0"/>
          <w:color w:val="auto"/>
          <w:sz w:val="28"/>
          <w:szCs w:val="28"/>
        </w:rPr>
      </w:pPr>
      <w:r>
        <w:br w:type="page"/>
      </w:r>
    </w:p>
    <w:p w14:paraId="6EAB5447" w14:textId="6FF523A9" w:rsidR="006A5192" w:rsidRPr="004635B8" w:rsidRDefault="006A5192" w:rsidP="009B246F">
      <w:pPr>
        <w:pStyle w:val="Nadpis2"/>
      </w:pPr>
      <w:bookmarkStart w:id="23" w:name="_Toc500705997"/>
      <w:r>
        <w:lastRenderedPageBreak/>
        <w:t xml:space="preserve">Téma 3: </w:t>
      </w:r>
      <w:r w:rsidR="002C25D6" w:rsidRPr="002C25D6">
        <w:t>Zdravie a kvalita života</w:t>
      </w:r>
      <w:bookmarkEnd w:id="23"/>
    </w:p>
    <w:p w14:paraId="10C7F10E" w14:textId="20538A74" w:rsidR="006A5192" w:rsidRDefault="00874D26" w:rsidP="00987043">
      <w:pPr>
        <w:jc w:val="center"/>
        <w:rPr>
          <w:noProof/>
          <w:lang w:eastAsia="sk-SK"/>
        </w:rPr>
      </w:pPr>
      <w:r w:rsidRPr="008B1B08">
        <w:rPr>
          <w:rFonts w:ascii="Helvetica" w:hAnsi="Helvetica"/>
          <w:noProof/>
          <w:color w:val="333333"/>
          <w:lang w:val="cs-CZ" w:eastAsia="cs-CZ"/>
        </w:rPr>
        <w:drawing>
          <wp:inline distT="0" distB="0" distL="0" distR="0" wp14:anchorId="21EEED29" wp14:editId="7FF0B876">
            <wp:extent cx="1330353" cy="1330353"/>
            <wp:effectExtent l="0" t="0" r="3175" b="3175"/>
            <wp:docPr id="48" name="obrázek 40" descr="http://www.unis.unvienna.org/images/2016/SDGicons/sdg2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unis.unvienna.org/images/2016/SDGicons/sdg2_sk.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1237" cy="1341237"/>
                    </a:xfrm>
                    <a:prstGeom prst="rect">
                      <a:avLst/>
                    </a:prstGeom>
                    <a:noFill/>
                    <a:ln>
                      <a:noFill/>
                    </a:ln>
                  </pic:spPr>
                </pic:pic>
              </a:graphicData>
            </a:graphic>
          </wp:inline>
        </w:drawing>
      </w:r>
      <w:r>
        <w:rPr>
          <w:noProof/>
          <w:lang w:eastAsia="sk-SK"/>
        </w:rPr>
        <w:t xml:space="preserve"> </w:t>
      </w:r>
      <w:r w:rsidR="00CE5DF5">
        <w:rPr>
          <w:noProof/>
          <w:lang w:val="cs-CZ" w:eastAsia="cs-CZ"/>
        </w:rPr>
        <w:drawing>
          <wp:inline distT="0" distB="0" distL="0" distR="0" wp14:anchorId="0C28E7E8" wp14:editId="51FCE53D">
            <wp:extent cx="1323975" cy="1323975"/>
            <wp:effectExtent l="0" t="0" r="9525" b="9525"/>
            <wp:docPr id="10" name="Obrázok 10" descr="Image result for 17 SDG ci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17 SDG cie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sidR="00C931FB">
        <w:rPr>
          <w:noProof/>
          <w:lang w:eastAsia="sk-SK"/>
        </w:rPr>
        <w:t xml:space="preserve"> </w:t>
      </w:r>
      <w:r w:rsidR="007564DC" w:rsidRPr="007564DC">
        <w:rPr>
          <w:noProof/>
          <w:lang w:val="cs-CZ" w:eastAsia="cs-CZ"/>
        </w:rPr>
        <w:drawing>
          <wp:inline distT="0" distB="0" distL="0" distR="0" wp14:anchorId="28204A74" wp14:editId="708C5C52">
            <wp:extent cx="1333500" cy="1333500"/>
            <wp:effectExtent l="0" t="0" r="0" b="0"/>
            <wp:docPr id="19" name="Obrázok 19" descr="C:\Users\Vlado\Documents\SDG 6 Čistá voda a hygien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Vlado\Documents\SDG 6 Čistá voda a hygiena.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39559" cy="1339559"/>
                    </a:xfrm>
                    <a:prstGeom prst="rect">
                      <a:avLst/>
                    </a:prstGeom>
                    <a:noFill/>
                    <a:ln>
                      <a:noFill/>
                    </a:ln>
                  </pic:spPr>
                </pic:pic>
              </a:graphicData>
            </a:graphic>
          </wp:inline>
        </w:drawing>
      </w:r>
      <w:r w:rsidR="00C931FB">
        <w:rPr>
          <w:noProof/>
          <w:lang w:eastAsia="sk-SK"/>
        </w:rPr>
        <w:t xml:space="preserve"> </w:t>
      </w:r>
    </w:p>
    <w:p w14:paraId="3FF33E6F" w14:textId="77777777" w:rsidR="00AC78DF" w:rsidRPr="00AE5A9F" w:rsidRDefault="00AC78DF" w:rsidP="00AE5A9F">
      <w:pPr>
        <w:rPr>
          <w:sz w:val="20"/>
          <w:szCs w:val="20"/>
        </w:rPr>
      </w:pPr>
    </w:p>
    <w:p w14:paraId="08FA226D" w14:textId="5D898BBD" w:rsidR="00A653FE" w:rsidRDefault="00957F77" w:rsidP="00024B70">
      <w:pPr>
        <w:pStyle w:val="Nadpis3"/>
      </w:pPr>
      <w:bookmarkStart w:id="24" w:name="_Toc500705998"/>
      <w:r w:rsidRPr="004635B8">
        <w:t xml:space="preserve">1 Globálne </w:t>
      </w:r>
      <w:proofErr w:type="spellStart"/>
      <w:r w:rsidRPr="004635B8">
        <w:t>megatrendy</w:t>
      </w:r>
      <w:bookmarkEnd w:id="24"/>
      <w:proofErr w:type="spellEnd"/>
    </w:p>
    <w:p w14:paraId="18767B3F" w14:textId="77777777" w:rsidR="00BA1981" w:rsidRDefault="00BA1981" w:rsidP="00940696">
      <w:r w:rsidRPr="00BA1981">
        <w:t>V tejto téme smerujeme k synergii medzi troma navzájom prepojenými oblasťami zdravia, kvality výživy a dostupnosti potravín, vody a sanitárnych opatrení pre všetkých.</w:t>
      </w:r>
    </w:p>
    <w:p w14:paraId="5AE09105" w14:textId="43EC0EE1" w:rsidR="00A653FE" w:rsidRPr="00E6350E" w:rsidRDefault="00A653FE" w:rsidP="00BA1981">
      <w:r w:rsidRPr="00E6350E">
        <w:t>Až 23</w:t>
      </w:r>
      <w:r w:rsidR="002C25D6">
        <w:t xml:space="preserve"> </w:t>
      </w:r>
      <w:r w:rsidRPr="00E6350E">
        <w:t>% zo všetkých úmrtí a</w:t>
      </w:r>
      <w:r w:rsidR="00B95261" w:rsidRPr="00E6350E">
        <w:t xml:space="preserve"> približne </w:t>
      </w:r>
      <w:r w:rsidRPr="00E6350E">
        <w:t>26</w:t>
      </w:r>
      <w:r w:rsidR="002C25D6">
        <w:t xml:space="preserve"> </w:t>
      </w:r>
      <w:r w:rsidRPr="00E6350E">
        <w:t xml:space="preserve">% úmrtí detí do 5 rokov je podľa svetovej zdravotníckej organizácie zapríčinených životným prostredím. Ďalším kľúčovým faktorom je životný štýl. Ekonomická a sociálna  situácia v krajinách vplýva na  typ ochorení, dĺžku života v zdraví a priemerný vek dožitia. </w:t>
      </w:r>
      <w:r w:rsidR="00BA1981" w:rsidRPr="00BA1981">
        <w:t>V rozvinutých priemyselných krajinách sú hlavným problémom kardiovaskulárne ochorenia,  ochorenia respiračného traktu a onkologické ochorenia.</w:t>
      </w:r>
      <w:r w:rsidR="00BA1981">
        <w:t xml:space="preserve"> </w:t>
      </w:r>
      <w:r w:rsidR="00B95261" w:rsidRPr="00E6350E">
        <w:t xml:space="preserve">V rozvojových </w:t>
      </w:r>
      <w:r w:rsidR="00940696" w:rsidRPr="00E6350E">
        <w:t xml:space="preserve">krajinách </w:t>
      </w:r>
      <w:r w:rsidR="00B95261" w:rsidRPr="00E6350E">
        <w:t xml:space="preserve">je to chorobnosť spôsobovaná infekciami, parazitmi a výživovými nedostatkami. Ide hlavne o choroby spojené z problematickou kvalitou pitnej vody a nedostupnosťou kanalizácie. Vo všetkých krajinách je to </w:t>
      </w:r>
      <w:r w:rsidR="00940696" w:rsidRPr="00E6350E">
        <w:t xml:space="preserve">ďalej </w:t>
      </w:r>
      <w:r w:rsidR="00B95261" w:rsidRPr="00E6350E">
        <w:t>otázka dostupnosti</w:t>
      </w:r>
      <w:r w:rsidR="00940696" w:rsidRPr="00E6350E">
        <w:t xml:space="preserve"> a</w:t>
      </w:r>
      <w:r w:rsidR="00B95261" w:rsidRPr="00E6350E">
        <w:t xml:space="preserve"> kvality potravín, ale aj životného štýlu. </w:t>
      </w:r>
    </w:p>
    <w:p w14:paraId="74284FF2" w14:textId="5FA9A3E0" w:rsidR="00A653FE" w:rsidRPr="00E6350E" w:rsidRDefault="00A653FE" w:rsidP="00027B89">
      <w:r w:rsidRPr="00E6350E">
        <w:t>Globálne došlo za uplynulú dekádu k</w:t>
      </w:r>
      <w:r w:rsidR="00027B89" w:rsidRPr="00E6350E">
        <w:t xml:space="preserve"> výraznému </w:t>
      </w:r>
      <w:r w:rsidRPr="00E6350E">
        <w:t>poklesu  chor</w:t>
      </w:r>
      <w:r w:rsidR="00027B89" w:rsidRPr="00E6350E">
        <w:t>o</w:t>
      </w:r>
      <w:r w:rsidRPr="00E6350E">
        <w:t>b</w:t>
      </w:r>
      <w:r w:rsidR="00027B89" w:rsidRPr="00E6350E">
        <w:t>nosti</w:t>
      </w:r>
      <w:r w:rsidRPr="00E6350E">
        <w:t xml:space="preserve">. Dôvodom je zvyšovanie životnej úrovne (hlavne v Ázii) a zlepšovanie hygienických podmienok v rozvojových krajinách, kde majú ľudia lepší prístup k pitnej vode a kanalizácii.  </w:t>
      </w:r>
      <w:r w:rsidR="00B95261" w:rsidRPr="00E6350E">
        <w:t>Čiastočne k</w:t>
      </w:r>
      <w:r w:rsidR="00940696" w:rsidRPr="00E6350E">
        <w:t> tomu prispel aj</w:t>
      </w:r>
      <w:r w:rsidR="00B95261" w:rsidRPr="00E6350E">
        <w:t xml:space="preserve"> hospodársk</w:t>
      </w:r>
      <w:r w:rsidR="00940696" w:rsidRPr="00E6350E">
        <w:t>y</w:t>
      </w:r>
      <w:r w:rsidR="00B95261" w:rsidRPr="00E6350E">
        <w:t xml:space="preserve"> rast, </w:t>
      </w:r>
      <w:r w:rsidR="00940696" w:rsidRPr="00E6350E">
        <w:t xml:space="preserve">a v </w:t>
      </w:r>
      <w:r w:rsidR="00B95261" w:rsidRPr="00E6350E">
        <w:t>prípade Afrik</w:t>
      </w:r>
      <w:r w:rsidR="00940696" w:rsidRPr="00E6350E">
        <w:t>y</w:t>
      </w:r>
      <w:r w:rsidR="00B95261" w:rsidRPr="00E6350E">
        <w:t xml:space="preserve"> aj zahraničn</w:t>
      </w:r>
      <w:r w:rsidR="00940696" w:rsidRPr="00E6350E">
        <w:t>á</w:t>
      </w:r>
      <w:r w:rsidR="00B95261" w:rsidRPr="00E6350E">
        <w:t xml:space="preserve"> pomoc, </w:t>
      </w:r>
      <w:r w:rsidR="00940696" w:rsidRPr="00E6350E">
        <w:t>ktorú poskytuje aj</w:t>
      </w:r>
      <w:r w:rsidR="00B95261" w:rsidRPr="00E6350E">
        <w:t xml:space="preserve"> Slovensko (</w:t>
      </w:r>
      <w:r w:rsidR="00B95261" w:rsidRPr="00E6350E">
        <w:rPr>
          <w:i/>
        </w:rPr>
        <w:t>SlovakAid</w:t>
      </w:r>
      <w:r w:rsidR="00B95261" w:rsidRPr="00E6350E">
        <w:t xml:space="preserve">). </w:t>
      </w:r>
    </w:p>
    <w:p w14:paraId="498FDCAB" w14:textId="4DC5F80F" w:rsidR="00A653FE" w:rsidRPr="00E6350E" w:rsidRDefault="00A653FE" w:rsidP="00940696">
      <w:r w:rsidRPr="00E6350E">
        <w:t xml:space="preserve">V roku 2002 ročne zomrelo podľa Svetovej zdravotníckej organizácie na choroby vyplývajúce zo zlých životných podmienok 13,3 milióna ľudí, kým v roku 2012 len 12,6 milióna. Celkovo </w:t>
      </w:r>
      <w:r w:rsidR="00B95261" w:rsidRPr="00E6350E">
        <w:t>ta</w:t>
      </w:r>
      <w:r w:rsidR="00940696" w:rsidRPr="00E6350E">
        <w:t>k</w:t>
      </w:r>
      <w:r w:rsidR="00B95261" w:rsidRPr="00E6350E">
        <w:t xml:space="preserve"> vidíme za dekádu</w:t>
      </w:r>
      <w:r w:rsidRPr="00E6350E">
        <w:t xml:space="preserve"> pokles z 57 miliónov úmrtí v roku 2002 na 55,6 milióna v roku 2012. T</w:t>
      </w:r>
      <w:r w:rsidR="00B95261" w:rsidRPr="00E6350E">
        <w:t>rend</w:t>
      </w:r>
      <w:r w:rsidRPr="00E6350E">
        <w:t xml:space="preserve"> sa dá pripísať lepším životným podmienkam, ale aj vyššej úrovni zdravotnej starostlivosti. Podľa Svetovej </w:t>
      </w:r>
      <w:r w:rsidR="00940696" w:rsidRPr="00E6350E">
        <w:t>z</w:t>
      </w:r>
      <w:r w:rsidRPr="00E6350E">
        <w:t xml:space="preserve">dravotníckej </w:t>
      </w:r>
      <w:r w:rsidR="00940696" w:rsidRPr="00E6350E">
        <w:t>o</w:t>
      </w:r>
      <w:r w:rsidRPr="00E6350E">
        <w:t xml:space="preserve">rganizácie </w:t>
      </w:r>
      <w:r w:rsidR="00940696" w:rsidRPr="00E6350E">
        <w:t>však aj</w:t>
      </w:r>
      <w:r w:rsidRPr="00E6350E">
        <w:t xml:space="preserve"> tak v roku 2012 zomrelo </w:t>
      </w:r>
      <w:r w:rsidR="00940696" w:rsidRPr="00E6350E">
        <w:t>vo svete</w:t>
      </w:r>
      <w:r w:rsidRPr="00E6350E">
        <w:t xml:space="preserve"> 12,6 milióna ľudí dôsledkom zlých životných podmienok, čo je zhruba každé štvrté úmrtie. </w:t>
      </w:r>
      <w:r w:rsidR="005F6F0C" w:rsidRPr="00E6350E">
        <w:t>Globálne využíva nejaký certifikovaný systém kanalizácie 82</w:t>
      </w:r>
      <w:r w:rsidR="002C25D6">
        <w:t xml:space="preserve"> </w:t>
      </w:r>
      <w:r w:rsidR="005F6F0C" w:rsidRPr="00E6350E">
        <w:t>% ľudí v mestách, ale k</w:t>
      </w:r>
      <w:r w:rsidR="002C25D6">
        <w:t> </w:t>
      </w:r>
      <w:r w:rsidR="005F6F0C" w:rsidRPr="00E6350E">
        <w:t>takejto</w:t>
      </w:r>
      <w:r w:rsidR="002C25D6">
        <w:t xml:space="preserve"> </w:t>
      </w:r>
      <w:r w:rsidR="005F6F0C" w:rsidRPr="00E6350E">
        <w:t>kanalizácii má prístup iba 51</w:t>
      </w:r>
      <w:r w:rsidR="002C25D6">
        <w:t xml:space="preserve"> </w:t>
      </w:r>
      <w:r w:rsidR="005F6F0C" w:rsidRPr="00E6350E">
        <w:t xml:space="preserve">% </w:t>
      </w:r>
      <w:r w:rsidR="00940696" w:rsidRPr="00E6350E">
        <w:t>celo</w:t>
      </w:r>
      <w:r w:rsidR="005F6F0C" w:rsidRPr="00E6350E">
        <w:t xml:space="preserve">svetovej vidieckej populácie. Riešenie problému tak zostáva výzvou pre mnohé krajiny, ale aj pre politiku súdržnosti a rozvojovú pomoc. </w:t>
      </w:r>
    </w:p>
    <w:p w14:paraId="3E16B07D" w14:textId="532A71EF" w:rsidR="00AC78DF" w:rsidRDefault="00BA1981" w:rsidP="00BA1981">
      <w:r w:rsidRPr="00BA1981">
        <w:t xml:space="preserve">Dôležitou oblasťou s prepojením na zdravie je potravinárstvo a výživa. Dnes takmer jedna z troch osôb celosvetovo trpí neadekvátnou výživou: buď jej nedostatkom, nedostatkom vitamínov, alebo nadváhou a obezitou a následne neprenosnými chorobami súvisiacimi s </w:t>
      </w:r>
      <w:r>
        <w:t xml:space="preserve">výživou. V roku 2014 približne </w:t>
      </w:r>
      <w:r w:rsidRPr="00BA1981">
        <w:t>462 miliónov dospelých celosvetovo trpelo podváhou a 1,9 miliardy nadváhou, alebo obezitou. V roku 2016 bolo odhadom 41 miliónov detí pod 5 rokov s nadváhou, alebo obéznych, zatiaľ čo 155 miliónov detí pod 5 rokov bolo chronicky podvyživených. Faktory súvisiace s výživou  prispievajú k približne 45% úmrtí detí vo veku pod 5 rokov, najmä z dôvodu podvýživy, zároveň však v krajinách stúpa nadváha a obezita z dôvodu nesprávnej výživy</w:t>
      </w:r>
      <w:r>
        <w:rPr>
          <w:rStyle w:val="Znakapoznpodarou"/>
        </w:rPr>
        <w:footnoteReference w:id="56"/>
      </w:r>
      <w:r w:rsidRPr="00BA1981">
        <w:t xml:space="preserve">. V globálnom systéme sa celkove zvyšuje tlak na produkciu </w:t>
      </w:r>
      <w:r w:rsidRPr="00BA1981">
        <w:lastRenderedPageBreak/>
        <w:t>potravín, pretože stúpa svetová populácia. Stúpajú aj ceny komodít a výkup poľnohospodárskej pôdy nadnárodnými spoločnosťami. Zároveň existujú problémy so zásobami fosfátov (pre produkciu fosforečných hnojív), ktorých ložiská sú rýchlo vyčerpávané a bez  nich nebude možné udržať potrebný objem výroby.</w:t>
      </w:r>
    </w:p>
    <w:p w14:paraId="3997E3F6" w14:textId="77777777" w:rsidR="00AE5A9F" w:rsidRPr="00AE5A9F" w:rsidRDefault="00AE5A9F" w:rsidP="00BA1981">
      <w:pPr>
        <w:rPr>
          <w:sz w:val="20"/>
          <w:szCs w:val="20"/>
        </w:rPr>
      </w:pPr>
    </w:p>
    <w:p w14:paraId="17CA199D" w14:textId="77777777" w:rsidR="00957F77" w:rsidRPr="00555D1B" w:rsidRDefault="00957F77" w:rsidP="00715F57">
      <w:pPr>
        <w:pStyle w:val="Nadpis3"/>
        <w:rPr>
          <w:bCs/>
        </w:rPr>
      </w:pPr>
      <w:bookmarkStart w:id="25" w:name="_Toc500705999"/>
      <w:r>
        <w:t>2 Pozícia Slovenska</w:t>
      </w:r>
      <w:bookmarkEnd w:id="25"/>
    </w:p>
    <w:p w14:paraId="16971D3B" w14:textId="04EF424E" w:rsidR="00E3178A" w:rsidRPr="00E6350E" w:rsidRDefault="00E3178A" w:rsidP="00A653FE">
      <w:r w:rsidRPr="00E6350E">
        <w:t xml:space="preserve">Slovensko potrebuje pre udržanie a zvyšovanie kvality života obyvateľov zlepšiť zdravotnú situáciu populácie, zabezpečiť udržateľnosť  a kvalitu výroby potravín a dokončiť napojenie obyvateľov na bezpečné zdroje pitnej vody a kanalizáciu. </w:t>
      </w:r>
    </w:p>
    <w:p w14:paraId="7B60728C" w14:textId="24A0DD18" w:rsidR="00A653FE" w:rsidRPr="00E6350E" w:rsidRDefault="00A653FE" w:rsidP="00BA1981">
      <w:r w:rsidRPr="00E6350E">
        <w:t>Zdravotná situácia v Slovenskej republike nie je dobrá.</w:t>
      </w:r>
      <w:r w:rsidR="00BA1981">
        <w:t xml:space="preserve"> </w:t>
      </w:r>
      <w:r w:rsidR="00BA1981" w:rsidRPr="00BA1981">
        <w:t>Stredná dĺžka života pri narodení v roku 2015 bola 76,7 roka, čo predstavuje zvýšenie oproti 73,3 roka v roku 2000, stále je to však takmer o štyri roky menej ako priemer EÚ. Pretrváva veľký rozdiel medzi pohlaviami, pričom slovenskí muži žijú v priemere o viac ako sedem rokov kratšie ako ženy (73,1 roka v porovnaní s 80,2 roka). Existujú takisto veľké rozdiely medzi sociálno-ekonomickými skupinami: osoby s nízkou úrovňou vzdelania žijú v priemere o 10 rokov kratšie ako osoby s vysokoškolským vzdelaním</w:t>
      </w:r>
      <w:r w:rsidR="00BA1981">
        <w:rPr>
          <w:rStyle w:val="Znakapoznpodarou"/>
        </w:rPr>
        <w:footnoteReference w:id="57"/>
      </w:r>
      <w:r w:rsidR="00BA1981" w:rsidRPr="00BA1981">
        <w:t>.</w:t>
      </w:r>
    </w:p>
    <w:p w14:paraId="3E176031" w14:textId="2D8A3935" w:rsidR="00A653FE" w:rsidRPr="00E6350E" w:rsidRDefault="00A653FE" w:rsidP="00940696">
      <w:r w:rsidRPr="00E6350E">
        <w:t>Najčastejš</w:t>
      </w:r>
      <w:r w:rsidR="00940696" w:rsidRPr="00E6350E">
        <w:t>ími</w:t>
      </w:r>
      <w:r w:rsidRPr="00E6350E">
        <w:t xml:space="preserve"> príčin</w:t>
      </w:r>
      <w:r w:rsidR="00940696" w:rsidRPr="00E6350E">
        <w:t>ami</w:t>
      </w:r>
      <w:r w:rsidRPr="00E6350E">
        <w:t xml:space="preserve"> úmrt</w:t>
      </w:r>
      <w:r w:rsidR="00940696" w:rsidRPr="00E6350E">
        <w:t>ia</w:t>
      </w:r>
      <w:r w:rsidRPr="00E6350E">
        <w:t xml:space="preserve"> na Slovensku sú choroby obehovej sústavy a nádorové ochorenia, nasledované úrazmi</w:t>
      </w:r>
      <w:r w:rsidR="00AC1332" w:rsidRPr="00E6350E">
        <w:t xml:space="preserve"> (Príloha 3, Grafy 6 a 7)</w:t>
      </w:r>
      <w:r w:rsidRPr="00E6350E">
        <w:t xml:space="preserve">. Situácia na Slovensku je veľmi nepriaznivá a úmrtnosť </w:t>
      </w:r>
      <w:r w:rsidR="00940696" w:rsidRPr="00E6350E">
        <w:t xml:space="preserve">na choroby </w:t>
      </w:r>
      <w:r w:rsidRPr="00E6350E">
        <w:t>obehov</w:t>
      </w:r>
      <w:r w:rsidR="00940696" w:rsidRPr="00E6350E">
        <w:t>ej</w:t>
      </w:r>
      <w:r w:rsidRPr="00E6350E">
        <w:t xml:space="preserve"> sústav</w:t>
      </w:r>
      <w:r w:rsidR="00940696" w:rsidRPr="00E6350E">
        <w:t>y</w:t>
      </w:r>
      <w:r w:rsidRPr="00E6350E">
        <w:t xml:space="preserve"> na obyvateľov </w:t>
      </w:r>
      <w:r w:rsidR="00940696" w:rsidRPr="00E6350E">
        <w:t xml:space="preserve">patrí </w:t>
      </w:r>
      <w:r w:rsidRPr="00E6350E">
        <w:t xml:space="preserve">na Slovensku k najvyšším v rámci Európy. Nachádzame sa v skupine stredoeurópskych krajín, kde je  úmrtnosť  </w:t>
      </w:r>
      <w:r w:rsidR="00940696" w:rsidRPr="00E6350E">
        <w:t xml:space="preserve">na tento druh choroby v priemere </w:t>
      </w:r>
      <w:r w:rsidRPr="00E6350E">
        <w:t xml:space="preserve">712 chorých na 100 000 obyvateľov (rozdiely medzi </w:t>
      </w:r>
      <w:r w:rsidR="00940696" w:rsidRPr="00E6350E">
        <w:t> krajinami V4</w:t>
      </w:r>
      <w:r w:rsidRPr="00E6350E">
        <w:t xml:space="preserve"> sú </w:t>
      </w:r>
      <w:r w:rsidR="00940696" w:rsidRPr="00E6350E">
        <w:t>minimálne</w:t>
      </w:r>
      <w:r w:rsidRPr="00E6350E">
        <w:t>). V porovnaní s krajinami ako Španielsko alebo Francúzsko je  rozdiel signifikantný</w:t>
      </w:r>
      <w:r w:rsidR="00940696" w:rsidRPr="00E6350E">
        <w:t>, keďže</w:t>
      </w:r>
      <w:r w:rsidRPr="00E6350E">
        <w:t xml:space="preserve"> </w:t>
      </w:r>
      <w:r w:rsidR="00940696" w:rsidRPr="00E6350E">
        <w:t>v</w:t>
      </w:r>
      <w:r w:rsidRPr="00E6350E">
        <w:t>o Francúzsku zomrie ročne</w:t>
      </w:r>
      <w:r w:rsidR="00940696" w:rsidRPr="00E6350E">
        <w:t xml:space="preserve"> na rovnakú chorobu</w:t>
      </w:r>
      <w:r w:rsidRPr="00E6350E">
        <w:t xml:space="preserve"> </w:t>
      </w:r>
      <w:r w:rsidR="00940696" w:rsidRPr="00E6350E">
        <w:t xml:space="preserve">iba </w:t>
      </w:r>
      <w:r w:rsidRPr="00E6350E">
        <w:t xml:space="preserve">223 chorých na 100 000 obyvateľov. </w:t>
      </w:r>
      <w:r w:rsidR="00E3178A" w:rsidRPr="00E6350E">
        <w:t>V</w:t>
      </w:r>
      <w:r w:rsidRPr="00E6350E">
        <w:t xml:space="preserve"> porovnaní s priemerom Európskej únie </w:t>
      </w:r>
      <w:r w:rsidR="00940696" w:rsidRPr="00E6350E">
        <w:t xml:space="preserve">evidujeme na Slovensku </w:t>
      </w:r>
      <w:r w:rsidRPr="00E6350E">
        <w:t>takmer dvojnásobok úmrtí na ochorenia obehovej sústavy.</w:t>
      </w:r>
    </w:p>
    <w:p w14:paraId="6677105D" w14:textId="41E013C0" w:rsidR="00940696" w:rsidRPr="00E6350E" w:rsidRDefault="00A653FE" w:rsidP="00940696">
      <w:r w:rsidRPr="00E6350E">
        <w:t>V oblasti nádorových ochorení je situácia podobná</w:t>
      </w:r>
      <w:r w:rsidR="00940696" w:rsidRPr="00E6350E">
        <w:t>.</w:t>
      </w:r>
      <w:r w:rsidRPr="00E6350E">
        <w:t xml:space="preserve"> Slovensko </w:t>
      </w:r>
      <w:r w:rsidR="00940696" w:rsidRPr="00E6350E">
        <w:t>patrí</w:t>
      </w:r>
      <w:r w:rsidRPr="00E6350E">
        <w:t xml:space="preserve"> medzi najhorš</w:t>
      </w:r>
      <w:r w:rsidR="00940696" w:rsidRPr="00E6350E">
        <w:t>ie</w:t>
      </w:r>
      <w:r w:rsidRPr="00E6350E">
        <w:t xml:space="preserve"> európsk</w:t>
      </w:r>
      <w:r w:rsidR="00940696" w:rsidRPr="00E6350E">
        <w:t>e</w:t>
      </w:r>
      <w:r w:rsidRPr="00E6350E">
        <w:t xml:space="preserve"> krajin</w:t>
      </w:r>
      <w:r w:rsidR="00940696" w:rsidRPr="00E6350E">
        <w:t>y</w:t>
      </w:r>
      <w:r w:rsidR="00E3178A" w:rsidRPr="00E6350E">
        <w:t>,</w:t>
      </w:r>
      <w:r w:rsidRPr="00E6350E">
        <w:t xml:space="preserve"> aj keď tu rozdiel nie je až tak výrazný. Výrazné rozdiely však zostávajú medzi pohlaviami. Úmrtnosť mužov na nádorové ochorenia je 1,9</w:t>
      </w:r>
      <w:r w:rsidR="00523333">
        <w:t>-</w:t>
      </w:r>
      <w:r w:rsidRPr="00E6350E">
        <w:t>krát vyššia ako žien, u externých príčin smrti dokonca 4,5</w:t>
      </w:r>
      <w:r w:rsidR="00523333">
        <w:t>-</w:t>
      </w:r>
      <w:r w:rsidRPr="00E6350E">
        <w:t xml:space="preserve">krát vyššia. Ročne </w:t>
      </w:r>
      <w:r w:rsidR="00E3178A" w:rsidRPr="00E6350E">
        <w:t xml:space="preserve">je </w:t>
      </w:r>
      <w:r w:rsidRPr="00E6350E">
        <w:t>hlásených približne 25 000 nových prípadov zhubných nádorov, pričom takmer 70</w:t>
      </w:r>
      <w:r w:rsidR="00664F42">
        <w:t xml:space="preserve"> </w:t>
      </w:r>
      <w:r w:rsidRPr="00E6350E">
        <w:t xml:space="preserve">% zhubných nádorov sa vyskytuje u populácie staršej ako 60 rokov (MZ SR). </w:t>
      </w:r>
    </w:p>
    <w:p w14:paraId="21D2110B" w14:textId="12696226" w:rsidR="00A653FE" w:rsidRPr="00E6350E" w:rsidRDefault="002E59B5" w:rsidP="00AE5A9F">
      <w:r w:rsidRPr="00AE5A9F">
        <w:t>Úmrtnosť na Alzheimerovu chorobu a iné formy demencie sa od roku 2000 do roku 2014  zdvojnásobila.</w:t>
      </w:r>
      <w:r w:rsidR="00AE5A9F" w:rsidRPr="00AE5A9F">
        <w:t xml:space="preserve"> Je tomu tak</w:t>
      </w:r>
      <w:r w:rsidRPr="00AE5A9F">
        <w:t xml:space="preserve"> hlav</w:t>
      </w:r>
      <w:r w:rsidR="00AE5A9F" w:rsidRPr="00AE5A9F">
        <w:t>ne kvôli starnutiu obyvateľstva, aj keď čísla štatisticky zvyšuje aj lepšia</w:t>
      </w:r>
      <w:r w:rsidR="00AE5A9F" w:rsidRPr="00AE5A9F">
        <w:t xml:space="preserve"> diagnostik</w:t>
      </w:r>
      <w:r w:rsidR="00AE5A9F" w:rsidRPr="00AE5A9F">
        <w:t xml:space="preserve">a </w:t>
      </w:r>
      <w:r w:rsidRPr="00AE5A9F">
        <w:t>(</w:t>
      </w:r>
      <w:proofErr w:type="spellStart"/>
      <w:r w:rsidRPr="00AE5A9F">
        <w:t>The</w:t>
      </w:r>
      <w:proofErr w:type="spellEnd"/>
      <w:r w:rsidRPr="00AE5A9F">
        <w:t xml:space="preserve"> State of Health in the EU, 2017).</w:t>
      </w:r>
      <w:r w:rsidRPr="00E6350E">
        <w:t xml:space="preserve"> </w:t>
      </w:r>
      <w:r w:rsidR="00A653FE" w:rsidRPr="00E6350E">
        <w:t xml:space="preserve">Ministerstvo zdravotníctva vo svojej správe o stave zdravotníctva na Slovensku očakáva, že počet </w:t>
      </w:r>
      <w:r w:rsidRPr="00E6350E">
        <w:t xml:space="preserve">rôznych </w:t>
      </w:r>
      <w:r w:rsidR="00A653FE" w:rsidRPr="00E6350E">
        <w:t>ochorení bude v najbližších rokoch stúpať. Dôvodom je zvyšujúci sa priemerný vek populácie</w:t>
      </w:r>
      <w:r w:rsidRPr="00E6350E">
        <w:t>, narastajúce sociálne rozdiely</w:t>
      </w:r>
      <w:r w:rsidR="00A653FE" w:rsidRPr="00E6350E">
        <w:t xml:space="preserve"> aj zlý vývoj životného prostredia</w:t>
      </w:r>
      <w:r w:rsidR="00E3178A" w:rsidRPr="00E6350E">
        <w:t xml:space="preserve">, hlavne znečistenie </w:t>
      </w:r>
      <w:r w:rsidR="00940696" w:rsidRPr="00E6350E">
        <w:t xml:space="preserve">ovzdušia </w:t>
      </w:r>
      <w:r w:rsidR="00E3178A" w:rsidRPr="00E6350E">
        <w:t>v mestských aglomeráciách</w:t>
      </w:r>
      <w:r w:rsidR="00A653FE" w:rsidRPr="00E6350E">
        <w:t xml:space="preserve">. </w:t>
      </w:r>
    </w:p>
    <w:p w14:paraId="462976C6" w14:textId="19B2C099" w:rsidR="006E6A41" w:rsidRPr="00E6350E" w:rsidRDefault="00AD2DE9" w:rsidP="00AD2DE9">
      <w:r w:rsidRPr="00E6350E">
        <w:t>Z hľadiska</w:t>
      </w:r>
      <w:r w:rsidR="00A653FE" w:rsidRPr="00E6350E">
        <w:t xml:space="preserve"> rozmiestneni</w:t>
      </w:r>
      <w:r w:rsidRPr="00E6350E">
        <w:t>a</w:t>
      </w:r>
      <w:r w:rsidR="00A653FE" w:rsidRPr="00E6350E">
        <w:t xml:space="preserve"> chorých v rámci Slovenskej republiky sa </w:t>
      </w:r>
      <w:r w:rsidR="00E3178A" w:rsidRPr="00E6350E">
        <w:t>ich</w:t>
      </w:r>
      <w:r w:rsidR="00A653FE" w:rsidRPr="00E6350E">
        <w:t xml:space="preserve"> najviac nachádza v južných okresoch Slovenska (MZ SR</w:t>
      </w:r>
      <w:r w:rsidR="00AC1332" w:rsidRPr="00E6350E">
        <w:t>, Príloha 3, Tabuľka 4</w:t>
      </w:r>
      <w:r w:rsidR="00A653FE" w:rsidRPr="00E6350E">
        <w:t>). Pri ochoreniach obehovej sústavy je najv</w:t>
      </w:r>
      <w:r w:rsidRPr="00E6350E">
        <w:t>yššia</w:t>
      </w:r>
      <w:r w:rsidR="00A653FE" w:rsidRPr="00E6350E">
        <w:t xml:space="preserve"> úmrtnosť v okresoch Rimavská Sobota, Revúca, Poltár, Banská Štiavnica, Krupina, Ružomberok a Svidník, </w:t>
      </w:r>
      <w:r w:rsidRPr="00E6350E">
        <w:t>s</w:t>
      </w:r>
      <w:r w:rsidR="00A653FE" w:rsidRPr="00E6350E">
        <w:t xml:space="preserve"> úmrtnosť</w:t>
      </w:r>
      <w:r w:rsidRPr="00E6350E">
        <w:t>ou</w:t>
      </w:r>
      <w:r w:rsidR="00A653FE" w:rsidRPr="00E6350E">
        <w:t xml:space="preserve"> viac ako 9,5 obyvateľa na 1000 mužov. Počty u žien sú veľmi podobné, ale pridávajú sa ešte okresy Turčianske Teplice, Galanta a Sobrance.</w:t>
      </w:r>
      <w:r w:rsidR="006E6A41" w:rsidRPr="00E6350E">
        <w:t xml:space="preserve"> </w:t>
      </w:r>
    </w:p>
    <w:p w14:paraId="1541C94E" w14:textId="744EEECD" w:rsidR="00552B24" w:rsidRPr="00E6350E" w:rsidRDefault="006E6A41" w:rsidP="00AD2DE9">
      <w:r w:rsidRPr="00E6350E">
        <w:lastRenderedPageBreak/>
        <w:t xml:space="preserve">Napriek nepriaznivým trendom </w:t>
      </w:r>
      <w:r w:rsidR="00AD2DE9" w:rsidRPr="00E6350E">
        <w:t xml:space="preserve">hodnotilo </w:t>
      </w:r>
      <w:r w:rsidRPr="00E6350E">
        <w:t xml:space="preserve">najvyššie percento obyvateľov Slovenska v roku 2014 svoje zdravie ako „dobré“ (44,2 %), pričom v roku 2005 to bolo len 28,9 % obyvateľov. Relatívne </w:t>
      </w:r>
      <w:r w:rsidR="00523333" w:rsidRPr="00E6350E">
        <w:t>vysok</w:t>
      </w:r>
      <w:r w:rsidR="00523333">
        <w:t>ý</w:t>
      </w:r>
      <w:r w:rsidRPr="00E6350E">
        <w:t xml:space="preserve"> podiel osôb v Slovenskej republike považovalo svoje zdravie za „veľmi dobré“ (v roku 2014 to bolo 20,5 % obyvateľov). </w:t>
      </w:r>
      <w:r w:rsidR="00AD2DE9" w:rsidRPr="00E6350E">
        <w:t xml:space="preserve">Subjektívne </w:t>
      </w:r>
      <w:r w:rsidRPr="00E6350E">
        <w:t>„</w:t>
      </w:r>
      <w:r w:rsidR="00AD2DE9" w:rsidRPr="00E6350E">
        <w:t>v</w:t>
      </w:r>
      <w:r w:rsidRPr="00E6350E">
        <w:t>eľmi zlému“ zdravotnému stavu musel</w:t>
      </w:r>
      <w:r w:rsidR="00AD2DE9" w:rsidRPr="00E6350E">
        <w:t>i</w:t>
      </w:r>
      <w:r w:rsidRPr="00E6350E">
        <w:t xml:space="preserve"> čeliť približne 2 % slovenskej populácie (ŠÚ SR).</w:t>
      </w:r>
      <w:r w:rsidR="0059574A" w:rsidRPr="00E6350E">
        <w:t xml:space="preserve"> </w:t>
      </w:r>
      <w:r w:rsidR="00AD2DE9" w:rsidRPr="00E6350E">
        <w:t>Je dôležité poznamenať, že t</w:t>
      </w:r>
      <w:r w:rsidR="0059574A" w:rsidRPr="00E6350E">
        <w:t>ento indikátor je subjektívny a </w:t>
      </w:r>
      <w:r w:rsidR="00AD2DE9" w:rsidRPr="00E6350E">
        <w:t>spomedzi</w:t>
      </w:r>
      <w:r w:rsidR="0059574A" w:rsidRPr="00E6350E">
        <w:t xml:space="preserve"> </w:t>
      </w:r>
      <w:r w:rsidR="00AD2DE9" w:rsidRPr="00E6350E">
        <w:t>e</w:t>
      </w:r>
      <w:r w:rsidR="0059574A" w:rsidRPr="00E6350E">
        <w:t>urópsk</w:t>
      </w:r>
      <w:r w:rsidR="00AD2DE9" w:rsidRPr="00E6350E">
        <w:t>ych</w:t>
      </w:r>
      <w:r w:rsidR="0059574A" w:rsidRPr="00E6350E">
        <w:t xml:space="preserve"> štát</w:t>
      </w:r>
      <w:r w:rsidR="00AD2DE9" w:rsidRPr="00E6350E">
        <w:t>ov napr.</w:t>
      </w:r>
      <w:r w:rsidR="0059574A" w:rsidRPr="00E6350E">
        <w:t xml:space="preserve"> v Grécku hodnotí svoje zdravie ako „veľmi dobré“ až 44,8 %, ale v Portugalsku len 8,2</w:t>
      </w:r>
      <w:r w:rsidR="00664F42">
        <w:t xml:space="preserve"> </w:t>
      </w:r>
      <w:r w:rsidR="0059574A" w:rsidRPr="00E6350E">
        <w:t>%</w:t>
      </w:r>
      <w:r w:rsidR="00AD2DE9" w:rsidRPr="00E6350E">
        <w:t xml:space="preserve"> obyvateľov</w:t>
      </w:r>
      <w:r w:rsidR="0059574A" w:rsidRPr="00E6350E">
        <w:t xml:space="preserve">. </w:t>
      </w:r>
    </w:p>
    <w:p w14:paraId="13E43A1E" w14:textId="77777777" w:rsidR="00BA1981" w:rsidRDefault="00BA1981" w:rsidP="00A653FE">
      <w:r w:rsidRPr="00BA1981">
        <w:t>Slovensko má v globálnom meradle priaznivý stav počtu lekárov na 1000 obyvateľov. V roku 2009 sme mali spolu 18 000 lekárov a 2600 zubárov, 2900 farmaceutov a 32 000 zdravotných sestier (MZ SR). Počet lekárov na 1000 obyvateľov stúpol z 3,18 v roku 2003 na 3,33 lekára v roku 2012 (</w:t>
      </w:r>
      <w:proofErr w:type="spellStart"/>
      <w:r w:rsidRPr="00BA1981">
        <w:t>World</w:t>
      </w:r>
      <w:proofErr w:type="spellEnd"/>
      <w:r w:rsidRPr="00BA1981">
        <w:t xml:space="preserve"> Bank). Tento počet patrí k vyšším v rámci Európy, pričom viac malo v tomto období len Nemecko (3,889) a Nórsko (4,28). Susedné Maďarsko dosiahlo hodnotu 3,08 a  Poľsko len 2,219. Problémom je rýchle starnutie obyvateľstva, kde sa Slovensko podľa demografických prognóz rýchlo mení z jednej z najmladších na jednu z najstarších krajín EÚ. Starnú aj lekári a v kombinácii s ich pracovnou emigráciou vidíme pokles ich počtu, pričom ich </w:t>
      </w:r>
      <w:proofErr w:type="spellStart"/>
      <w:r w:rsidRPr="00BA1981">
        <w:t>žiadanosť</w:t>
      </w:r>
      <w:proofErr w:type="spellEnd"/>
      <w:r w:rsidRPr="00BA1981">
        <w:t xml:space="preserve"> bude stúpať. Slovensko je krajina s jedným z najvyšších podielov lekárov pracujúcich v zahraničí, v roku 2014 dosahoval ich podiel takmer 20%. Z hľadiska vekovej štruktúry, až 43% lekárov je vo vekovej skupine nad 55 rokov a 28% nad 60 rokov. Pri všeobecných lekároch dosahuje ich priemerný vek už dnes 57 rokov a je tendencia ďalšieho nárastu. Treba spomenúť aj nerovnomernú distribúciu všeobecných lekárov i špecialistov medzi </w:t>
      </w:r>
      <w:proofErr w:type="spellStart"/>
      <w:r w:rsidRPr="00BA1981">
        <w:t>rurálnymi</w:t>
      </w:r>
      <w:proofErr w:type="spellEnd"/>
      <w:r w:rsidRPr="00BA1981">
        <w:t xml:space="preserve"> a mestskými oblasťami, ako aj relatívne nízky pomer počtu všeobecných lekárov ku počtu špecialistov. Nedostatočné počty pozorujeme nielen pri lekároch (chýbajúcich 860 v roku 2016), ale aj pri ďalších nelekárskych zdravotníckych pracovníkoch, napríklad v roku 2016 nám chýbalo podľa odhadu MZ SR (IZP) 1032 sestier.</w:t>
      </w:r>
    </w:p>
    <w:p w14:paraId="65F32B83" w14:textId="11976865" w:rsidR="00A653FE" w:rsidRPr="00E6350E" w:rsidRDefault="00E3178A" w:rsidP="00BA1981">
      <w:r w:rsidRPr="00E6350E">
        <w:t xml:space="preserve">Ďalším faktorom </w:t>
      </w:r>
      <w:r w:rsidR="00AD2DE9" w:rsidRPr="00E6350E">
        <w:t>s</w:t>
      </w:r>
      <w:r w:rsidRPr="00E6350E">
        <w:t> pr</w:t>
      </w:r>
      <w:r w:rsidR="00BA1981">
        <w:t>esahom na zdravie je dostupnosť,</w:t>
      </w:r>
      <w:r w:rsidRPr="00E6350E">
        <w:t> kvalita potravín</w:t>
      </w:r>
      <w:r w:rsidR="00BA1981">
        <w:t xml:space="preserve"> </w:t>
      </w:r>
      <w:r w:rsidR="00BA1981" w:rsidRPr="00BA1981">
        <w:t>a výživa obyvateľstva</w:t>
      </w:r>
      <w:r w:rsidRPr="00E6350E">
        <w:t xml:space="preserve">. </w:t>
      </w:r>
      <w:r w:rsidR="00A653FE" w:rsidRPr="00E6350E">
        <w:t xml:space="preserve">Negatívnym trendom je, že od roku 1990 klesá výmera poľnohospodárskej pôdy. V porovnaní rokov 2000 a 2016 vidíme, že jej výmera  klesla o 2,3 % (-55 339 ha) a to najmä na úkor zastavaných plôch a nádvorí, ktoré zaznamenali najväčší percentuálny nárast </w:t>
      </w:r>
      <w:r w:rsidR="00AD2DE9" w:rsidRPr="00E6350E">
        <w:t xml:space="preserve">o </w:t>
      </w:r>
      <w:r w:rsidR="00A653FE" w:rsidRPr="00E6350E">
        <w:t>7,2 % (+16 943 ha), čo je z</w:t>
      </w:r>
      <w:r w:rsidRPr="00E6350E">
        <w:t> </w:t>
      </w:r>
      <w:r w:rsidR="00A653FE" w:rsidRPr="00E6350E">
        <w:t>environmentálneho</w:t>
      </w:r>
      <w:r w:rsidRPr="00E6350E">
        <w:t xml:space="preserve">, ale aj ekonomického </w:t>
      </w:r>
      <w:r w:rsidR="00A653FE" w:rsidRPr="00E6350E">
        <w:t xml:space="preserve">hľadiska negatívny jav (Enviroportal, 2017). Problémom je tiež obhospodarovanie poľnohospodárskej pôdy. Aplikácia fosforečných hnojív na Slovensku nie je dostatočná a </w:t>
      </w:r>
      <w:r w:rsidR="00204F4B" w:rsidRPr="00E6350E">
        <w:t>nepokrýva</w:t>
      </w:r>
      <w:r w:rsidR="00A653FE" w:rsidRPr="00E6350E">
        <w:t xml:space="preserve"> požiadavky rastlín na danú živinu.</w:t>
      </w:r>
      <w:r w:rsidRPr="00E6350E">
        <w:t xml:space="preserve"> </w:t>
      </w:r>
    </w:p>
    <w:p w14:paraId="3CD9322F" w14:textId="24A44E8B" w:rsidR="00A653FE" w:rsidRPr="00E6350E" w:rsidRDefault="00E3178A" w:rsidP="00846E51">
      <w:pPr>
        <w:rPr>
          <w:rStyle w:val="Hypertextovodkaz"/>
          <w:color w:val="000000"/>
          <w:u w:val="none"/>
        </w:rPr>
      </w:pPr>
      <w:r w:rsidRPr="00E6350E">
        <w:t>Kvalita potravín je dnes už aj politick</w:t>
      </w:r>
      <w:r w:rsidR="00AD2DE9" w:rsidRPr="00E6350E">
        <w:t>ou</w:t>
      </w:r>
      <w:r w:rsidRPr="00E6350E">
        <w:t xml:space="preserve"> otázk</w:t>
      </w:r>
      <w:r w:rsidR="00AD2DE9" w:rsidRPr="00E6350E">
        <w:t>ou</w:t>
      </w:r>
      <w:r w:rsidRPr="00E6350E">
        <w:t xml:space="preserve"> rozdielov medzi starými a novými členskými krajinami </w:t>
      </w:r>
      <w:r w:rsidR="00AD2DE9" w:rsidRPr="00E6350E">
        <w:t>EÚ</w:t>
      </w:r>
      <w:r w:rsidRPr="00E6350E">
        <w:t xml:space="preserve">, dôležitá je </w:t>
      </w:r>
      <w:r w:rsidR="00AD2DE9" w:rsidRPr="00E6350E">
        <w:t xml:space="preserve">však </w:t>
      </w:r>
      <w:r w:rsidRPr="00E6350E">
        <w:t xml:space="preserve">aj osveta a kúpyschopnosť obyvateľstva. Vo vyspelých krajinách </w:t>
      </w:r>
      <w:r w:rsidR="00AD2DE9" w:rsidRPr="00E6350E">
        <w:t xml:space="preserve">pozorujeme </w:t>
      </w:r>
      <w:r w:rsidRPr="00E6350E">
        <w:t>trend, že ľudia</w:t>
      </w:r>
      <w:r w:rsidR="00CB456C" w:rsidRPr="00E6350E">
        <w:t xml:space="preserve"> </w:t>
      </w:r>
      <w:r w:rsidRPr="00E6350E">
        <w:t xml:space="preserve">so zvyšovaním príjmov viac investujú do kvality potravín (EU SILC). </w:t>
      </w:r>
      <w:r w:rsidR="00CB456C" w:rsidRPr="00E6350E">
        <w:t xml:space="preserve">Pozitívnym trendom, ktorý sa viaže k ekonomickému rastu (ale aj exportu) je zvyšovanie výmery ekologického poľnohospodárstva. </w:t>
      </w:r>
      <w:r w:rsidR="00A653FE" w:rsidRPr="00E6350E">
        <w:t>Kým priemer Európskej únie je 5,91 %, na Slovensku tvorila v roku 2014  výmera oblastí s ekologickým poľnohospodárstvom 9,48 %. Podpora ekologického poľnohospodárstva pokračuje aj v</w:t>
      </w:r>
      <w:r w:rsidR="00846E51" w:rsidRPr="00E6350E">
        <w:t> </w:t>
      </w:r>
      <w:r w:rsidR="00A653FE" w:rsidRPr="00E6350E">
        <w:t>P</w:t>
      </w:r>
      <w:r w:rsidR="00846E51" w:rsidRPr="00E6350E">
        <w:t>rogram rozvoja vidieka</w:t>
      </w:r>
      <w:r w:rsidR="00A653FE" w:rsidRPr="00E6350E">
        <w:t xml:space="preserve"> SR 2014 – 2020, cez samostatné opatrenie Ekologické poľnohospodárstvo a môžeme pozorovať opäť mierny nárast výmery (9,56 % v roku 2015). V roku 2015 bolo v systéme ekologickej poľnohospodárskej výroby v SR evidovaných spolu 416 subjektov hospodáriacich na výmere približne 186 483 ha poľnohospodárskej pôdy. Pri porovnaní s rokom 2014 sa medziročne táto výmera zvýšila o 6 118 ha.</w:t>
      </w:r>
      <w:r w:rsidR="00552B24" w:rsidRPr="00E6350E">
        <w:t xml:space="preserve"> </w:t>
      </w:r>
    </w:p>
    <w:p w14:paraId="7366F6A2" w14:textId="25319312" w:rsidR="00A653FE" w:rsidRPr="00E6350E" w:rsidRDefault="00CB456C" w:rsidP="00846E51">
      <w:r w:rsidRPr="00E6350E">
        <w:t xml:space="preserve">Kvalita vody a dostupnosť kanalizácie je kľúčová pre zdravie. </w:t>
      </w:r>
      <w:r w:rsidR="00A653FE" w:rsidRPr="00E6350E">
        <w:t>Pozitívny trend je viditeľný vo zvyšovaní počtu obyvateľov zásobovaných vodou z verejných vodovodov. V roku 1993 bolo takto zásobovaných len 77,8 % obyvateľov, v roku 2005 dosiahol počet 84,9 %, a v roku 2015 bola hodnota na úrovni 88,3 %. Aj keď percentuálne nejde o rýchle  zvyšovanie, je potrebné uvedomiť</w:t>
      </w:r>
      <w:r w:rsidR="00846E51" w:rsidRPr="00E6350E">
        <w:t xml:space="preserve"> si</w:t>
      </w:r>
      <w:r w:rsidR="00A653FE" w:rsidRPr="00E6350E">
        <w:t xml:space="preserve"> problém signifikantného rastu nákladov. Inými slovami, veľké koncentrácie </w:t>
      </w:r>
      <w:r w:rsidR="00A653FE" w:rsidRPr="00E6350E">
        <w:lastRenderedPageBreak/>
        <w:t>obyvateľstva v priaznivejších geografických podmienkach sú pripojené</w:t>
      </w:r>
      <w:r w:rsidR="00846E51" w:rsidRPr="00E6350E">
        <w:t xml:space="preserve"> ku kanalizácii</w:t>
      </w:r>
      <w:r w:rsidR="00A653FE" w:rsidRPr="00E6350E">
        <w:t xml:space="preserve"> a čím viac sa blížime k hodnote 100%</w:t>
      </w:r>
      <w:r w:rsidR="00846E51" w:rsidRPr="00E6350E">
        <w:t>,</w:t>
      </w:r>
      <w:r w:rsidR="00A653FE" w:rsidRPr="00E6350E">
        <w:t xml:space="preserve"> tým viac budú stúpať náklady. </w:t>
      </w:r>
    </w:p>
    <w:p w14:paraId="3F454ADE" w14:textId="0FBE69AC" w:rsidR="00957F77" w:rsidRDefault="00A653FE" w:rsidP="00957F77">
      <w:r w:rsidRPr="00E6350E">
        <w:t xml:space="preserve">Počet obyvateľov pripojených k novovybudovaným rozvodom pitnej vody stúpol medzi rokmi 2007 a 2014 o 33 019. Počet obyvateľov napojených na novovybudovanú kanalizačnú sieť v tom istom období stúpol o 44 195. Východné Slovensko je región, kde podiel </w:t>
      </w:r>
      <w:r w:rsidR="00846E51" w:rsidRPr="00E6350E">
        <w:t xml:space="preserve">pripojenosti ku kanalizácii </w:t>
      </w:r>
      <w:r w:rsidRPr="00E6350E">
        <w:t xml:space="preserve">stúpol z 54,7% na 64,3%. Celkovo v rámci Slovenska stúpol podiel medzi rokmi 2007 a 2015 z 58,2% na 65,1%. </w:t>
      </w:r>
      <w:r w:rsidR="00CB456C" w:rsidRPr="00E6350E">
        <w:t xml:space="preserve">Problematická je ale </w:t>
      </w:r>
      <w:r w:rsidR="00846E51" w:rsidRPr="00E6350E">
        <w:t xml:space="preserve">situácia </w:t>
      </w:r>
      <w:r w:rsidR="00CB456C" w:rsidRPr="00E6350E">
        <w:t>v marginalizovaných rómskych komunitách, kde často nie je dostupný ani bezpečný zdroj vody, ani k</w:t>
      </w:r>
      <w:r w:rsidR="00024B70">
        <w:t>analizácia (Filčák et al 2017).</w:t>
      </w:r>
    </w:p>
    <w:p w14:paraId="16E891ED" w14:textId="77777777" w:rsidR="00AC78DF" w:rsidRPr="00AE5A9F" w:rsidRDefault="00AC78DF" w:rsidP="00957F77">
      <w:pPr>
        <w:rPr>
          <w:sz w:val="20"/>
          <w:szCs w:val="20"/>
        </w:rPr>
      </w:pPr>
    </w:p>
    <w:p w14:paraId="0C39EA53" w14:textId="00EFF091" w:rsidR="006E6A41" w:rsidRPr="00024B70" w:rsidRDefault="00957F77" w:rsidP="00024B70">
      <w:pPr>
        <w:pStyle w:val="Nadpis3"/>
        <w:rPr>
          <w:bCs/>
        </w:rPr>
      </w:pPr>
      <w:bookmarkStart w:id="26" w:name="_Toc500706000"/>
      <w:r>
        <w:t xml:space="preserve">3 </w:t>
      </w:r>
      <w:r w:rsidR="000550B0">
        <w:t>Analýza medzery</w:t>
      </w:r>
      <w:bookmarkEnd w:id="26"/>
    </w:p>
    <w:p w14:paraId="209678F2" w14:textId="124A5313" w:rsidR="006E6A41" w:rsidRPr="00E6350E" w:rsidRDefault="00846E51" w:rsidP="00846E51">
      <w:pPr>
        <w:rPr>
          <w:rFonts w:ascii="Times" w:hAnsi="Times"/>
        </w:rPr>
      </w:pPr>
      <w:r w:rsidRPr="00E6350E">
        <w:rPr>
          <w:rFonts w:ascii="Times" w:hAnsi="Times"/>
        </w:rPr>
        <w:t>Pri</w:t>
      </w:r>
      <w:r w:rsidR="0059574A" w:rsidRPr="00E6350E">
        <w:rPr>
          <w:rFonts w:ascii="Times" w:hAnsi="Times"/>
        </w:rPr>
        <w:t xml:space="preserve"> definovan</w:t>
      </w:r>
      <w:r w:rsidRPr="00E6350E">
        <w:rPr>
          <w:rFonts w:ascii="Times" w:hAnsi="Times"/>
        </w:rPr>
        <w:t>í</w:t>
      </w:r>
      <w:r w:rsidR="0059574A" w:rsidRPr="00E6350E">
        <w:rPr>
          <w:rFonts w:ascii="Times" w:hAnsi="Times"/>
        </w:rPr>
        <w:t xml:space="preserve"> dlhodobých  cie</w:t>
      </w:r>
      <w:r w:rsidR="0059574A" w:rsidRPr="00E6350E">
        <w:rPr>
          <w:rFonts w:ascii="Times" w:hAnsi="Times" w:hint="eastAsia"/>
        </w:rPr>
        <w:t>ľ</w:t>
      </w:r>
      <w:r w:rsidR="0059574A" w:rsidRPr="00E6350E">
        <w:rPr>
          <w:rFonts w:ascii="Times" w:hAnsi="Times"/>
        </w:rPr>
        <w:t>ov je v oblasti zdravia a kvality života k</w:t>
      </w:r>
      <w:r w:rsidR="0059574A" w:rsidRPr="00E6350E">
        <w:rPr>
          <w:rFonts w:ascii="Times" w:hAnsi="Times" w:hint="eastAsia"/>
        </w:rPr>
        <w:t>ľúč</w:t>
      </w:r>
      <w:r w:rsidR="0059574A" w:rsidRPr="00E6350E">
        <w:rPr>
          <w:rFonts w:ascii="Times" w:hAnsi="Times"/>
        </w:rPr>
        <w:t>ov</w:t>
      </w:r>
      <w:r w:rsidRPr="00E6350E">
        <w:rPr>
          <w:rFonts w:ascii="Times" w:hAnsi="Times"/>
        </w:rPr>
        <w:t>á</w:t>
      </w:r>
      <w:r w:rsidR="0059574A" w:rsidRPr="00E6350E">
        <w:rPr>
          <w:rFonts w:ascii="Times" w:hAnsi="Times"/>
        </w:rPr>
        <w:t xml:space="preserve"> otázk</w:t>
      </w:r>
      <w:r w:rsidRPr="00E6350E">
        <w:rPr>
          <w:rFonts w:ascii="Times" w:hAnsi="Times"/>
        </w:rPr>
        <w:t>a</w:t>
      </w:r>
      <w:r w:rsidR="0059574A" w:rsidRPr="00E6350E">
        <w:rPr>
          <w:rFonts w:ascii="Times" w:hAnsi="Times"/>
        </w:rPr>
        <w:t xml:space="preserve"> ekonomick</w:t>
      </w:r>
      <w:r w:rsidRPr="00E6350E">
        <w:rPr>
          <w:rFonts w:ascii="Times" w:hAnsi="Times"/>
        </w:rPr>
        <w:t>ého</w:t>
      </w:r>
      <w:r w:rsidR="0059574A" w:rsidRPr="00E6350E">
        <w:rPr>
          <w:rFonts w:ascii="Times" w:hAnsi="Times"/>
        </w:rPr>
        <w:t xml:space="preserve"> rozvoj</w:t>
      </w:r>
      <w:r w:rsidRPr="00E6350E">
        <w:rPr>
          <w:rFonts w:ascii="Times" w:hAnsi="Times"/>
        </w:rPr>
        <w:t>a</w:t>
      </w:r>
      <w:r w:rsidR="0059574A" w:rsidRPr="00E6350E">
        <w:rPr>
          <w:rFonts w:ascii="Times" w:hAnsi="Times"/>
        </w:rPr>
        <w:t>, investíci</w:t>
      </w:r>
      <w:r w:rsidRPr="00E6350E">
        <w:rPr>
          <w:rFonts w:ascii="Times" w:hAnsi="Times"/>
        </w:rPr>
        <w:t>í</w:t>
      </w:r>
      <w:r w:rsidR="0059574A" w:rsidRPr="00E6350E">
        <w:rPr>
          <w:rFonts w:ascii="Times" w:hAnsi="Times"/>
        </w:rPr>
        <w:t xml:space="preserve"> do infraštruktúry a riešeni</w:t>
      </w:r>
      <w:r w:rsidRPr="00E6350E">
        <w:rPr>
          <w:rFonts w:ascii="Times" w:hAnsi="Times"/>
        </w:rPr>
        <w:t>a</w:t>
      </w:r>
      <w:r w:rsidR="0059574A" w:rsidRPr="00E6350E">
        <w:rPr>
          <w:rFonts w:ascii="Times" w:hAnsi="Times"/>
        </w:rPr>
        <w:t xml:space="preserve"> regionálnych a sociálnych disparít. </w:t>
      </w:r>
      <w:r w:rsidR="006E6A41" w:rsidRPr="00E6350E">
        <w:rPr>
          <w:rFonts w:ascii="Times" w:hAnsi="Times"/>
        </w:rPr>
        <w:t>Sp</w:t>
      </w:r>
      <w:r w:rsidRPr="00E6350E">
        <w:rPr>
          <w:rFonts w:ascii="Times" w:hAnsi="Times"/>
        </w:rPr>
        <w:t>r</w:t>
      </w:r>
      <w:r w:rsidR="006E6A41" w:rsidRPr="00E6350E">
        <w:rPr>
          <w:rFonts w:ascii="Times" w:hAnsi="Times"/>
        </w:rPr>
        <w:t>áva o stave zdravia v Európskej únii (The State of Health in the EU) publikovaná v novembri 2017 indikuje dôležitú úlohu sociálno-ekonomického statusu. Osoby s nízkou úrov</w:t>
      </w:r>
      <w:r w:rsidR="006E6A41" w:rsidRPr="00E6350E">
        <w:rPr>
          <w:rFonts w:ascii="Times" w:hAnsi="Times" w:hint="eastAsia"/>
        </w:rPr>
        <w:t>ň</w:t>
      </w:r>
      <w:r w:rsidR="006E6A41" w:rsidRPr="00E6350E">
        <w:rPr>
          <w:rFonts w:ascii="Times" w:hAnsi="Times"/>
        </w:rPr>
        <w:t>ou vzdelania žijú v priemere až o 10 rokov kratšie ako osoby s vysokoškolským vzdelaním. V rámci Európskej únie ide  o jeden z najvä</w:t>
      </w:r>
      <w:r w:rsidR="006E6A41" w:rsidRPr="00E6350E">
        <w:rPr>
          <w:rFonts w:ascii="Times" w:hAnsi="Times" w:hint="eastAsia"/>
        </w:rPr>
        <w:t>čší</w:t>
      </w:r>
      <w:r w:rsidR="006E6A41" w:rsidRPr="00E6350E">
        <w:rPr>
          <w:rFonts w:ascii="Times" w:hAnsi="Times"/>
        </w:rPr>
        <w:t xml:space="preserve">ch rozdielov. </w:t>
      </w:r>
      <w:r w:rsidR="006E6A41" w:rsidRPr="00E6350E">
        <w:rPr>
          <w:rFonts w:ascii="Times" w:hAnsi="Times"/>
          <w:bCs w:val="0"/>
          <w:color w:val="3B3B3B"/>
          <w:shd w:val="clear" w:color="auto" w:fill="FFFFFF"/>
        </w:rPr>
        <w:t> </w:t>
      </w:r>
      <w:r w:rsidR="0059574A" w:rsidRPr="00E6350E">
        <w:rPr>
          <w:rFonts w:ascii="Times" w:hAnsi="Times"/>
          <w:bCs w:val="0"/>
          <w:color w:val="3B3B3B"/>
          <w:shd w:val="clear" w:color="auto" w:fill="FFFFFF"/>
        </w:rPr>
        <w:t>Sociálne rozdiely majú zárove</w:t>
      </w:r>
      <w:r w:rsidR="0059574A" w:rsidRPr="00E6350E">
        <w:rPr>
          <w:rFonts w:ascii="Times" w:hAnsi="Times" w:hint="eastAsia"/>
          <w:bCs w:val="0"/>
          <w:color w:val="3B3B3B"/>
          <w:shd w:val="clear" w:color="auto" w:fill="FFFFFF"/>
        </w:rPr>
        <w:t>ň</w:t>
      </w:r>
      <w:r w:rsidR="0059574A" w:rsidRPr="00E6350E">
        <w:rPr>
          <w:rFonts w:ascii="Times" w:hAnsi="Times"/>
          <w:bCs w:val="0"/>
          <w:color w:val="3B3B3B"/>
          <w:shd w:val="clear" w:color="auto" w:fill="FFFFFF"/>
        </w:rPr>
        <w:t xml:space="preserve"> silný regionálny rozmer. </w:t>
      </w:r>
    </w:p>
    <w:p w14:paraId="13C00913" w14:textId="3F93354A" w:rsidR="00BA1981" w:rsidRDefault="00BA1981" w:rsidP="006E2E8C">
      <w:r w:rsidRPr="00BA1981">
        <w:t>Popri riešení priemetu sociálnych disparít na kvalitu života budú  kľúčovými výzvami zlepšovanie zdravotného stavu obyvateľov cestou znižovania environmentálnych ohrození, prevenciou a zdravou výživou, životným štýlom. Indikátorom bude, ako sa podarí bojovať s kratšou priemernou dĺžkou života prežitou v zdraví a ochoreniami na srdcové a nádorové ochorenia, kde výrazne zaostávame  v porovnaní s vyspelými krajinami EÚ. Starostlivosť o zdravie občanov Slovenska musí byť premietnutá do všetkých desiatich funkcií verejného zdravotníctva podľa Svetovej zdravotníckej organizácie (EPHO 10)</w:t>
      </w:r>
      <w:r>
        <w:rPr>
          <w:rStyle w:val="Znakapoznpodarou"/>
        </w:rPr>
        <w:footnoteReference w:id="58"/>
      </w:r>
      <w:r w:rsidRPr="00BA1981">
        <w:t xml:space="preserve">. </w:t>
      </w:r>
    </w:p>
    <w:p w14:paraId="3A116322" w14:textId="4928DC2B" w:rsidR="00A653FE" w:rsidRPr="00E6350E" w:rsidRDefault="00A653FE" w:rsidP="006E2E8C">
      <w:r w:rsidRPr="00E6350E">
        <w:t xml:space="preserve">V oblasti poľnohospodárstva vidíme priaznivé trendy v produkcii ekologickej výroby, ale celkovo klesá výroba potravín a Slovensko je závislé na dovoze. Podľa Štatistického úradu </w:t>
      </w:r>
      <w:r w:rsidR="00846E51" w:rsidRPr="00E6350E">
        <w:t xml:space="preserve">môžeme pozorovať </w:t>
      </w:r>
      <w:r w:rsidRPr="00E6350E">
        <w:t xml:space="preserve">pokles domácej výroby a nárast dovozu. </w:t>
      </w:r>
      <w:r w:rsidR="00846E51" w:rsidRPr="00E6350E">
        <w:t xml:space="preserve">Kým </w:t>
      </w:r>
      <w:r w:rsidRPr="00E6350E">
        <w:t>v roku 2004 krajina doviezla  potraviny za 1,4 milióna eur, v roku 2014 už to bolo za takmer 3,5 milióna eur. Koncepcia podpory poľnohospodárstva na obdobie 2014 až 2020 navyše indikuje prílišnú koncentráciu</w:t>
      </w:r>
      <w:r w:rsidR="00523333">
        <w:t>–</w:t>
      </w:r>
      <w:r w:rsidR="00552B24" w:rsidRPr="00E6350E">
        <w:t xml:space="preserve"> </w:t>
      </w:r>
      <w:r w:rsidRPr="00E6350E">
        <w:t xml:space="preserve">vyše 80 % </w:t>
      </w:r>
      <w:r w:rsidR="006E2E8C">
        <w:t>priamych platieb na plochu</w:t>
      </w:r>
      <w:r w:rsidR="006E2E8C" w:rsidRPr="00E6350E">
        <w:t xml:space="preserve"> </w:t>
      </w:r>
      <w:r w:rsidRPr="00E6350E">
        <w:t xml:space="preserve">poberá  len približne desať percent žiadateľov. </w:t>
      </w:r>
      <w:r w:rsidR="00552B24" w:rsidRPr="00E6350E">
        <w:t xml:space="preserve">Kúpna sila obyvateľstva v kontexte sociálnych rozdielov </w:t>
      </w:r>
      <w:r w:rsidR="00846E51" w:rsidRPr="00E6350E">
        <w:t xml:space="preserve">vedie k </w:t>
      </w:r>
      <w:r w:rsidR="00552B24" w:rsidRPr="00E6350E">
        <w:t>rastúc</w:t>
      </w:r>
      <w:r w:rsidR="00846E51" w:rsidRPr="00E6350E">
        <w:t>im</w:t>
      </w:r>
      <w:r w:rsidR="00552B24" w:rsidRPr="00E6350E">
        <w:t xml:space="preserve"> rozdiel</w:t>
      </w:r>
      <w:r w:rsidR="00846E51" w:rsidRPr="00E6350E">
        <w:t>om</w:t>
      </w:r>
      <w:r w:rsidR="00552B24" w:rsidRPr="00E6350E">
        <w:t xml:space="preserve"> v kvalite výživy</w:t>
      </w:r>
      <w:r w:rsidR="00846E51" w:rsidRPr="00E6350E">
        <w:t>.</w:t>
      </w:r>
      <w:r w:rsidR="00552B24" w:rsidRPr="00E6350E">
        <w:t xml:space="preserve"> </w:t>
      </w:r>
      <w:r w:rsidR="00846E51" w:rsidRPr="00E6350E">
        <w:t xml:space="preserve">Rozdiely </w:t>
      </w:r>
      <w:r w:rsidR="00552B24" w:rsidRPr="00E6350E">
        <w:t xml:space="preserve">medzi </w:t>
      </w:r>
      <w:r w:rsidR="00846E51" w:rsidRPr="00E6350E">
        <w:t xml:space="preserve">obyvateľmi žijúcimi v </w:t>
      </w:r>
      <w:r w:rsidR="00552B24" w:rsidRPr="00E6350E">
        <w:t>bohatší</w:t>
      </w:r>
      <w:r w:rsidR="00846E51" w:rsidRPr="00E6350E">
        <w:t>ch</w:t>
      </w:r>
      <w:r w:rsidR="00552B24" w:rsidRPr="00E6350E">
        <w:t xml:space="preserve"> (hlavne mestský</w:t>
      </w:r>
      <w:r w:rsidR="00846E51" w:rsidRPr="00E6350E">
        <w:t>ch</w:t>
      </w:r>
      <w:r w:rsidR="00552B24" w:rsidRPr="00E6350E">
        <w:t>) aglomeráci</w:t>
      </w:r>
      <w:r w:rsidR="00846E51" w:rsidRPr="00E6350E">
        <w:t>ách</w:t>
      </w:r>
      <w:r w:rsidR="00552B24" w:rsidRPr="00E6350E">
        <w:t xml:space="preserve"> a obyvateľstvom žijúc</w:t>
      </w:r>
      <w:r w:rsidR="00846E51" w:rsidRPr="00E6350E">
        <w:t>i</w:t>
      </w:r>
      <w:r w:rsidR="00552B24" w:rsidRPr="00E6350E">
        <w:t xml:space="preserve">m v menej rozvinutých regiónoch. </w:t>
      </w:r>
    </w:p>
    <w:p w14:paraId="7BF3A4C5" w14:textId="27340ECF" w:rsidR="00552B24" w:rsidRPr="00E6350E" w:rsidRDefault="00552B24" w:rsidP="003D7DCF">
      <w:r w:rsidRPr="00E6350E">
        <w:t xml:space="preserve">Slovenská republika </w:t>
      </w:r>
      <w:r w:rsidR="00846E51" w:rsidRPr="00E6350E">
        <w:t xml:space="preserve">je </w:t>
      </w:r>
      <w:r w:rsidRPr="00E6350E">
        <w:t xml:space="preserve">v rámci plnenia </w:t>
      </w:r>
      <w:r w:rsidR="00EF1224" w:rsidRPr="00E6350E">
        <w:t>záväzkov spojených so vstupom do E</w:t>
      </w:r>
      <w:r w:rsidR="00846E51" w:rsidRPr="00E6350E">
        <w:t>Ú</w:t>
      </w:r>
      <w:r w:rsidR="00EF1224" w:rsidRPr="00E6350E">
        <w:t xml:space="preserve"> </w:t>
      </w:r>
      <w:r w:rsidR="00846E51" w:rsidRPr="00E6350E">
        <w:t>povinná</w:t>
      </w:r>
      <w:r w:rsidR="00EF1224" w:rsidRPr="00E6350E">
        <w:t xml:space="preserve"> </w:t>
      </w:r>
      <w:r w:rsidR="00C50448" w:rsidRPr="00E6350E">
        <w:t xml:space="preserve">investovať do vodovodov a kanalizácií. </w:t>
      </w:r>
      <w:r w:rsidR="00A653FE" w:rsidRPr="00E6350E">
        <w:t>V</w:t>
      </w:r>
      <w:r w:rsidR="00C50448" w:rsidRPr="00E6350E">
        <w:t xml:space="preserve"> tejto </w:t>
      </w:r>
      <w:r w:rsidR="00A653FE" w:rsidRPr="00E6350E">
        <w:t xml:space="preserve">oblasti </w:t>
      </w:r>
      <w:r w:rsidR="00C50448" w:rsidRPr="00E6350E">
        <w:t xml:space="preserve">ale existuje </w:t>
      </w:r>
      <w:r w:rsidR="00A653FE" w:rsidRPr="00E6350E">
        <w:t xml:space="preserve"> problém tzv. „nízko visiaceho ovocia“, kde mestské aglomerácie, </w:t>
      </w:r>
      <w:r w:rsidR="00846E51" w:rsidRPr="00E6350E">
        <w:t xml:space="preserve">oblasti s vysokou </w:t>
      </w:r>
      <w:r w:rsidR="00A653FE" w:rsidRPr="00E6350E">
        <w:t>koncentráci</w:t>
      </w:r>
      <w:r w:rsidR="00846E51" w:rsidRPr="00E6350E">
        <w:t>ou</w:t>
      </w:r>
      <w:r w:rsidR="00A653FE" w:rsidRPr="00E6350E">
        <w:t xml:space="preserve"> obyvateľstva a ľahšie prístupné oblasti sú už pripojené </w:t>
      </w:r>
      <w:r w:rsidR="00846E51" w:rsidRPr="00E6350E">
        <w:t xml:space="preserve">na tieto siete </w:t>
      </w:r>
      <w:r w:rsidR="00A653FE" w:rsidRPr="00E6350E">
        <w:t>a každé ďalšie zvyšovanie</w:t>
      </w:r>
      <w:r w:rsidR="003D7DCF" w:rsidRPr="00E6350E">
        <w:t xml:space="preserve"> podielu pripojených</w:t>
      </w:r>
      <w:r w:rsidR="00A653FE" w:rsidRPr="00E6350E">
        <w:t xml:space="preserve"> je finančne viac a viac náročné. </w:t>
      </w:r>
      <w:r w:rsidR="003D7DCF" w:rsidRPr="00E6350E">
        <w:t xml:space="preserve">Pripojenie </w:t>
      </w:r>
      <w:r w:rsidR="00A653FE" w:rsidRPr="00E6350E">
        <w:t>približne 11 % obyvateľov, ktorí nie sú zásobovaní vodou z verejných vodovodov</w:t>
      </w:r>
      <w:r w:rsidR="003D7DCF" w:rsidRPr="00E6350E">
        <w:t>,</w:t>
      </w:r>
      <w:r w:rsidR="00A653FE" w:rsidRPr="00E6350E">
        <w:t xml:space="preserve"> predstavuje zároveň závažný sociálny problém. Veľká časť týchto obyvateľov žije v chudobných regiónoch a aj v prípade postaveni</w:t>
      </w:r>
      <w:r w:rsidR="003D7DCF" w:rsidRPr="00E6350E">
        <w:t>a</w:t>
      </w:r>
      <w:r w:rsidR="00A653FE" w:rsidRPr="00E6350E">
        <w:t xml:space="preserve"> vodovodnej infraštruktúry nemajú finan</w:t>
      </w:r>
      <w:r w:rsidR="003D7DCF" w:rsidRPr="00E6350E">
        <w:t>čné</w:t>
      </w:r>
      <w:r w:rsidR="00A653FE" w:rsidRPr="00E6350E">
        <w:t xml:space="preserve"> </w:t>
      </w:r>
      <w:r w:rsidR="003D7DCF" w:rsidRPr="00E6350E">
        <w:t xml:space="preserve">prostriedky </w:t>
      </w:r>
      <w:r w:rsidR="00A653FE" w:rsidRPr="00E6350E">
        <w:t>na pripojenie</w:t>
      </w:r>
      <w:r w:rsidR="003D7DCF" w:rsidRPr="00E6350E">
        <w:t xml:space="preserve"> sa</w:t>
      </w:r>
      <w:r w:rsidR="00A653FE" w:rsidRPr="00E6350E">
        <w:t xml:space="preserve"> a platenie za vodu. </w:t>
      </w:r>
    </w:p>
    <w:p w14:paraId="5BA30C82" w14:textId="4CFBC4AD" w:rsidR="00957F77" w:rsidRDefault="00A653FE" w:rsidP="00957F77">
      <w:r w:rsidRPr="00E6350E">
        <w:t>Špecifickým problém</w:t>
      </w:r>
      <w:r w:rsidR="003D7DCF" w:rsidRPr="00E6350E">
        <w:t>om</w:t>
      </w:r>
      <w:r w:rsidRPr="00E6350E">
        <w:t xml:space="preserve"> sú obyvatelia marginalizovaných rómskych komunít</w:t>
      </w:r>
      <w:r w:rsidR="00552B24" w:rsidRPr="00E6350E">
        <w:t>, kde okrem prístupu k vode</w:t>
      </w:r>
      <w:r w:rsidR="003D7DCF" w:rsidRPr="00E6350E">
        <w:t xml:space="preserve"> a</w:t>
      </w:r>
      <w:r w:rsidR="00552B24" w:rsidRPr="00E6350E">
        <w:t xml:space="preserve"> </w:t>
      </w:r>
      <w:r w:rsidR="00C50448" w:rsidRPr="00E6350E">
        <w:t>kanalizácii</w:t>
      </w:r>
      <w:r w:rsidR="00552B24" w:rsidRPr="00E6350E">
        <w:t xml:space="preserve"> existuje veľmi nepriaznivá situácia vo výžive (hlavne detí). Tieto </w:t>
      </w:r>
      <w:r w:rsidR="00552B24" w:rsidRPr="00E6350E">
        <w:lastRenderedPageBreak/>
        <w:t>faktory sa premietajú do indikátorov zdravotného stavu, ktorý je horší i v porovnaní s už pomerne zl</w:t>
      </w:r>
      <w:r w:rsidR="00024B70">
        <w:t>ým stavom všeobecnej populácie.</w:t>
      </w:r>
    </w:p>
    <w:p w14:paraId="71B503AD" w14:textId="77777777" w:rsidR="00AC78DF" w:rsidRPr="00AE5A9F" w:rsidRDefault="00AC78DF" w:rsidP="00957F77">
      <w:pPr>
        <w:rPr>
          <w:sz w:val="20"/>
          <w:szCs w:val="20"/>
        </w:rPr>
      </w:pPr>
    </w:p>
    <w:p w14:paraId="27AC6FB9" w14:textId="77057D96" w:rsidR="00C50448" w:rsidRPr="00024B70" w:rsidRDefault="00957F77" w:rsidP="00024B70">
      <w:pPr>
        <w:pStyle w:val="Nadpis3"/>
      </w:pPr>
      <w:bookmarkStart w:id="27" w:name="_Toc500706001"/>
      <w:r>
        <w:t xml:space="preserve">4 </w:t>
      </w:r>
      <w:r w:rsidR="00730990" w:rsidRPr="000166D1">
        <w:t xml:space="preserve">Stručný prehľad existujúcich </w:t>
      </w:r>
      <w:r w:rsidR="00730990">
        <w:t>dlhodobých stratégií</w:t>
      </w:r>
      <w:r w:rsidR="00730990" w:rsidRPr="000166D1">
        <w:t xml:space="preserve"> SR </w:t>
      </w:r>
      <w:r w:rsidR="00730990">
        <w:t>v danej téme</w:t>
      </w:r>
      <w:bookmarkEnd w:id="27"/>
    </w:p>
    <w:p w14:paraId="46522CF1" w14:textId="0947338B" w:rsidR="00A653FE" w:rsidRDefault="00A653FE" w:rsidP="00027B89">
      <w:r w:rsidRPr="00E6350E">
        <w:t xml:space="preserve">V oblasti zdravia je kľúčovým dokumentom </w:t>
      </w:r>
      <w:r w:rsidRPr="00E6350E">
        <w:rPr>
          <w:i/>
        </w:rPr>
        <w:t>Strategický rámec starostlivosti o zdravie pre roky 2013 – 2030</w:t>
      </w:r>
      <w:r w:rsidRPr="00E6350E">
        <w:t>. Ten by mal v strednodobom a dlhodobom horizonte určovať smerovanie zdravotnej politiky na Slovensku.</w:t>
      </w:r>
      <w:r w:rsidR="00C50448" w:rsidRPr="00E6350E">
        <w:t xml:space="preserve"> Strategický rámec definuje priority v troch oblastiach zdravotníctva. Ide o integrovanú ambulantnú zdravotnú starostlivosť, ústavnú zdravotnú starostlivosť zabezpečovanú prostredníctvom nemocníc, alebo iných zdravotníc</w:t>
      </w:r>
      <w:r w:rsidR="00BA1981">
        <w:t>kych zariadení a verejné zdravotníctvo</w:t>
      </w:r>
      <w:r w:rsidR="00C50448" w:rsidRPr="00E6350E">
        <w:t xml:space="preserve"> zamerané na zlepšovanie ukazovateľov ako je priemerná </w:t>
      </w:r>
      <w:r w:rsidR="00027B89" w:rsidRPr="00E6350E">
        <w:t>dĺžka života</w:t>
      </w:r>
      <w:r w:rsidR="00C50448" w:rsidRPr="00E6350E">
        <w:t>, počet stratených rokov života v dôsledku predčasných úmrtí a následkov chorôb či prevalenia civilizačných chorôb.</w:t>
      </w:r>
    </w:p>
    <w:p w14:paraId="7D5CA074" w14:textId="77777777" w:rsidR="00BA1981" w:rsidRDefault="00BA1981" w:rsidP="00BA1981">
      <w:r>
        <w:t xml:space="preserve">Stratégia verejného zdravotníctva je orientovaná na štyri EPHO 10 podporné funkcie verejného zdravotníctva : </w:t>
      </w:r>
    </w:p>
    <w:p w14:paraId="65847B4C" w14:textId="07B1B789" w:rsidR="00BA1981" w:rsidRDefault="00BA1981" w:rsidP="00BA1981">
      <w:pPr>
        <w:pStyle w:val="Odstavecseseznamem"/>
        <w:numPr>
          <w:ilvl w:val="0"/>
          <w:numId w:val="32"/>
        </w:numPr>
      </w:pPr>
      <w:r>
        <w:t>ľudské zdroje pre verejné zdravotníctvo (</w:t>
      </w:r>
      <w:proofErr w:type="spellStart"/>
      <w:r>
        <w:t>public</w:t>
      </w:r>
      <w:proofErr w:type="spellEnd"/>
      <w:r>
        <w:t xml:space="preserve"> </w:t>
      </w:r>
      <w:proofErr w:type="spellStart"/>
      <w:r>
        <w:t>health</w:t>
      </w:r>
      <w:proofErr w:type="spellEnd"/>
      <w:r>
        <w:t xml:space="preserve"> </w:t>
      </w:r>
      <w:proofErr w:type="spellStart"/>
      <w:r>
        <w:t>workforce</w:t>
      </w:r>
      <w:proofErr w:type="spellEnd"/>
      <w:r>
        <w:t xml:space="preserve">, nielen </w:t>
      </w:r>
      <w:proofErr w:type="spellStart"/>
      <w:r>
        <w:t>healthcare</w:t>
      </w:r>
      <w:proofErr w:type="spellEnd"/>
      <w:r>
        <w:t xml:space="preserve"> </w:t>
      </w:r>
      <w:proofErr w:type="spellStart"/>
      <w:r>
        <w:t>workforce</w:t>
      </w:r>
      <w:proofErr w:type="spellEnd"/>
      <w:r>
        <w:t>),</w:t>
      </w:r>
    </w:p>
    <w:p w14:paraId="267B07E0" w14:textId="47DABBB7" w:rsidR="00BA1981" w:rsidRDefault="00BA1981" w:rsidP="00BA1981">
      <w:pPr>
        <w:pStyle w:val="Odstavecseseznamem"/>
        <w:numPr>
          <w:ilvl w:val="0"/>
          <w:numId w:val="32"/>
        </w:numPr>
      </w:pPr>
      <w:r>
        <w:t>financovanie služieb verejného zdravotníctva (v súčasnosti len 1,2% nákladov na zdravotníctvo),</w:t>
      </w:r>
    </w:p>
    <w:p w14:paraId="58E9DA1D" w14:textId="2D60371F" w:rsidR="00BA1981" w:rsidRDefault="00BA1981" w:rsidP="00BA1981">
      <w:pPr>
        <w:pStyle w:val="Odstavecseseznamem"/>
        <w:numPr>
          <w:ilvl w:val="0"/>
          <w:numId w:val="32"/>
        </w:numPr>
      </w:pPr>
      <w:r>
        <w:t>lepšia organizácia systému verejného zdravotníctva  (v súčasnosti sa plní najmä 3. základná funkcia EPHO10, a to štátny zdravotný dozor),</w:t>
      </w:r>
    </w:p>
    <w:p w14:paraId="1E617E27" w14:textId="7C73DB11" w:rsidR="00BA1981" w:rsidRDefault="00BA1981" w:rsidP="00BA1981">
      <w:pPr>
        <w:pStyle w:val="Odstavecseseznamem"/>
        <w:numPr>
          <w:ilvl w:val="0"/>
          <w:numId w:val="32"/>
        </w:numPr>
      </w:pPr>
      <w:r>
        <w:t>nová legislatíva pre poskytovanie služieb verejného zdravotníctva.</w:t>
      </w:r>
    </w:p>
    <w:p w14:paraId="09A586A4" w14:textId="77777777" w:rsidR="00BA1981" w:rsidRDefault="00BA1981" w:rsidP="00BA1981">
      <w:r>
        <w:t xml:space="preserve">V roku 2014 bola schválená novela ďalšieho strategického dokumentu, „Národného programu podpory zdravia“, ktorého cieľom je iniciovanie jednotlivých zložiek spoločnosti k zabezpečeniu podpory a rozvoja verejného zdravia tak, aby sa dosiahlo trvalé zlepšenie zdravotného stavu obyvateľstva. Jedná sa o komplexný </w:t>
      </w:r>
      <w:proofErr w:type="spellStart"/>
      <w:r>
        <w:t>multisektorálny</w:t>
      </w:r>
      <w:proofErr w:type="spellEnd"/>
      <w:r>
        <w:t xml:space="preserve"> dokument, ktorý si stanovuje 11 cieľov v doménach zdravého životného štýlu, starostlivosti o zdravie, zdravej výživy, prevencie a liečby závislostí, prevencie úrazovosti, zdravia rodiny, zdravých pracovných a životných podmienok, zníženia výskytu prenosných aj neprenosných ochorení a pohybovej aktivity. V oblasti neprenosných ochorení smerujú aktivity (prevencia na všetkých úrovniach i liečba) do oblasti kardiovaskulárnych ochorení, onkologických ochorení, duševného zdravia, </w:t>
      </w:r>
      <w:proofErr w:type="spellStart"/>
      <w:r>
        <w:t>osteoporózy</w:t>
      </w:r>
      <w:proofErr w:type="spellEnd"/>
      <w:r>
        <w:t xml:space="preserve">, alergií a diabetu. </w:t>
      </w:r>
    </w:p>
    <w:p w14:paraId="0B911139" w14:textId="2E2AF73A" w:rsidR="00BA1981" w:rsidRPr="00E6350E" w:rsidRDefault="00BA1981" w:rsidP="00BA1981">
      <w:r>
        <w:t>Z pohľadu verejného záujmu v oblasti zdravotníctva ako kľúčový vnímame projekt „Štandardných preventívnych, diagnostických a terapeutických postupov“ vedúcich k definícii jasných pravidiel a zosúladenia postupov na všetkých úrovniach od prevencie cez diagnostiku až po liečbu vo vybraných prioritných oblastiach vrátane kvalifikovaného odhadu zdrojov (finančných, materiálno-technických a personálnych) potrebných na ich zabezpečenie.</w:t>
      </w:r>
    </w:p>
    <w:p w14:paraId="35B7877C" w14:textId="322E05C6" w:rsidR="00603F25" w:rsidRPr="00E6350E" w:rsidRDefault="00A653FE" w:rsidP="003D7DCF">
      <w:r w:rsidRPr="00E6350E">
        <w:t xml:space="preserve">Hlavné programové dokumenty v oblasti poľnohospodárstva, ale aj otázky zásobovania vodou a pripojenia ku kanalizácii sú spojené s čerpaním </w:t>
      </w:r>
      <w:r w:rsidR="003D7DCF" w:rsidRPr="00E6350E">
        <w:t>EŠIF</w:t>
      </w:r>
      <w:r w:rsidRPr="00E6350E">
        <w:t xml:space="preserve">, ktoré v súčasnosti pokrývajú väčšinu investícií. </w:t>
      </w:r>
      <w:r w:rsidR="00603F25" w:rsidRPr="00E6350E">
        <w:t xml:space="preserve">V oblasti manažmentu vodných zdrojov je pripravený Vodný plán Slovenska (aktualizácia 2015). </w:t>
      </w:r>
    </w:p>
    <w:p w14:paraId="217BBCDD" w14:textId="0B22CE0B" w:rsidR="007564DC" w:rsidRDefault="00A653FE" w:rsidP="00AE5A9F">
      <w:r w:rsidRPr="00E6350E">
        <w:t>Plán rozvoja vidieka a</w:t>
      </w:r>
      <w:r w:rsidR="00027B89">
        <w:t xml:space="preserve"> Integrovaný </w:t>
      </w:r>
      <w:r w:rsidR="00027B89" w:rsidRPr="00E6350E">
        <w:t>r</w:t>
      </w:r>
      <w:r w:rsidRPr="00E6350E">
        <w:t xml:space="preserve">egionálny operačný program nadväzujú na ciele Partnerskej dohody a ciele schválené v rámci </w:t>
      </w:r>
      <w:r w:rsidR="00027B89">
        <w:t>s</w:t>
      </w:r>
      <w:r w:rsidRPr="00E6350E">
        <w:t>tratégie Európa a 2020. Ministerstvo pôdohospodárstva a rozvoja vidieka SR tiež vypracovalo Koncepciu rozvoja potravi</w:t>
      </w:r>
      <w:r w:rsidR="005C661A">
        <w:t>nárskeho priemyslu 2014 – 2020</w:t>
      </w:r>
      <w:r w:rsidR="005C661A" w:rsidRPr="005C661A">
        <w:t>, čo ale nemá za primárny cieľ zlepšenie výživy a následne zlepšenie zdravia občanov SR.</w:t>
      </w:r>
    </w:p>
    <w:p w14:paraId="514742A7" w14:textId="77777777" w:rsidR="00AE5A9F" w:rsidRPr="00AE5A9F" w:rsidRDefault="00AE5A9F" w:rsidP="00AE5A9F"/>
    <w:p w14:paraId="481829F1" w14:textId="77777777" w:rsidR="00664F42" w:rsidRDefault="006A5192" w:rsidP="009B246F">
      <w:pPr>
        <w:pStyle w:val="Nadpis2"/>
      </w:pPr>
      <w:bookmarkStart w:id="28" w:name="_Toc500706002"/>
      <w:r>
        <w:lastRenderedPageBreak/>
        <w:t xml:space="preserve">Téma 4: </w:t>
      </w:r>
      <w:r w:rsidR="002C25D6" w:rsidRPr="002C25D6">
        <w:t>Udržateľné sídla a krajina v kontexte zmeny klímy</w:t>
      </w:r>
      <w:bookmarkEnd w:id="28"/>
      <w:r w:rsidR="002C25D6" w:rsidRPr="002C25D6">
        <w:t xml:space="preserve"> </w:t>
      </w:r>
    </w:p>
    <w:p w14:paraId="5F45012F" w14:textId="665DA908" w:rsidR="00B26EDE" w:rsidRDefault="00874D26" w:rsidP="00874D26">
      <w:pPr>
        <w:jc w:val="center"/>
        <w:rPr>
          <w:noProof/>
          <w:lang w:eastAsia="sk-SK"/>
        </w:rPr>
      </w:pPr>
      <w:r w:rsidRPr="008B1B08">
        <w:rPr>
          <w:rFonts w:ascii="Helvetica" w:hAnsi="Helvetica"/>
          <w:noProof/>
          <w:color w:val="333333"/>
          <w:lang w:val="cs-CZ" w:eastAsia="cs-CZ"/>
        </w:rPr>
        <w:drawing>
          <wp:inline distT="0" distB="0" distL="0" distR="0" wp14:anchorId="57E8F29D" wp14:editId="4FBCA307">
            <wp:extent cx="1253127" cy="1253127"/>
            <wp:effectExtent l="0" t="0" r="4445" b="4445"/>
            <wp:docPr id="52" name="obrázek 45" descr="http://www.unis.unvienna.org/images/2016/SDGicons/sdg7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unis.unvienna.org/images/2016/SDGicons/sdg7_sk.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0780" cy="1260780"/>
                    </a:xfrm>
                    <a:prstGeom prst="rect">
                      <a:avLst/>
                    </a:prstGeom>
                    <a:noFill/>
                    <a:ln>
                      <a:noFill/>
                    </a:ln>
                  </pic:spPr>
                </pic:pic>
              </a:graphicData>
            </a:graphic>
          </wp:inline>
        </w:drawing>
      </w:r>
      <w:r w:rsidR="006A23D0">
        <w:rPr>
          <w:noProof/>
          <w:lang w:eastAsia="sk-SK"/>
        </w:rPr>
        <w:t xml:space="preserve"> </w:t>
      </w:r>
      <w:r w:rsidRPr="008B1B08">
        <w:rPr>
          <w:rFonts w:ascii="Helvetica" w:hAnsi="Helvetica"/>
          <w:noProof/>
          <w:color w:val="333333"/>
          <w:lang w:val="cs-CZ" w:eastAsia="cs-CZ"/>
        </w:rPr>
        <w:drawing>
          <wp:inline distT="0" distB="0" distL="0" distR="0" wp14:anchorId="3A25846D" wp14:editId="0030013D">
            <wp:extent cx="1253127" cy="1253127"/>
            <wp:effectExtent l="0" t="0" r="4445" b="4445"/>
            <wp:docPr id="50" name="obrázek 49" descr="http://www.unis.unvienna.org/images/2016/SDGicons/sdg11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unis.unvienna.org/images/2016/SDGicons/sdg11_sk.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62809" cy="1262809"/>
                    </a:xfrm>
                    <a:prstGeom prst="rect">
                      <a:avLst/>
                    </a:prstGeom>
                    <a:noFill/>
                    <a:ln>
                      <a:noFill/>
                    </a:ln>
                  </pic:spPr>
                </pic:pic>
              </a:graphicData>
            </a:graphic>
          </wp:inline>
        </w:drawing>
      </w:r>
      <w:r w:rsidR="006A23D0">
        <w:rPr>
          <w:noProof/>
          <w:lang w:eastAsia="sk-SK"/>
        </w:rPr>
        <w:t xml:space="preserve"> </w:t>
      </w:r>
      <w:r w:rsidR="00294E62">
        <w:rPr>
          <w:noProof/>
          <w:lang w:val="cs-CZ" w:eastAsia="cs-CZ"/>
        </w:rPr>
        <w:drawing>
          <wp:inline distT="0" distB="0" distL="0" distR="0" wp14:anchorId="0226868A" wp14:editId="4FFF1197">
            <wp:extent cx="1257300" cy="1257300"/>
            <wp:effectExtent l="0" t="0" r="0" b="0"/>
            <wp:docPr id="30" name="Obrázok 22" descr="Image result for ochrana klímy sd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result for ochrana klímy sdg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8072" cy="1258072"/>
                    </a:xfrm>
                    <a:prstGeom prst="rect">
                      <a:avLst/>
                    </a:prstGeom>
                    <a:noFill/>
                    <a:ln>
                      <a:noFill/>
                    </a:ln>
                  </pic:spPr>
                </pic:pic>
              </a:graphicData>
            </a:graphic>
          </wp:inline>
        </w:drawing>
      </w:r>
      <w:r w:rsidR="006A23D0">
        <w:rPr>
          <w:noProof/>
          <w:lang w:eastAsia="sk-SK"/>
        </w:rPr>
        <w:t xml:space="preserve"> </w:t>
      </w:r>
      <w:r w:rsidRPr="008B1B08">
        <w:rPr>
          <w:rFonts w:ascii="Helvetica" w:hAnsi="Helvetica"/>
          <w:noProof/>
          <w:color w:val="333333"/>
          <w:lang w:val="cs-CZ" w:eastAsia="cs-CZ"/>
        </w:rPr>
        <w:drawing>
          <wp:inline distT="0" distB="0" distL="0" distR="0" wp14:anchorId="3A741752" wp14:editId="72A2B098">
            <wp:extent cx="1253127" cy="1253127"/>
            <wp:effectExtent l="0" t="0" r="4445" b="4445"/>
            <wp:docPr id="53" name="obrázek 53" descr="http://www.unis.unvienna.org/images/2016/SDGicons/sdg15_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unis.unvienna.org/images/2016/SDGicons/sdg15_sk.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1003" cy="1261003"/>
                    </a:xfrm>
                    <a:prstGeom prst="rect">
                      <a:avLst/>
                    </a:prstGeom>
                    <a:noFill/>
                    <a:ln>
                      <a:noFill/>
                    </a:ln>
                  </pic:spPr>
                </pic:pic>
              </a:graphicData>
            </a:graphic>
          </wp:inline>
        </w:drawing>
      </w:r>
    </w:p>
    <w:p w14:paraId="69FB8923" w14:textId="77777777" w:rsidR="00A653FE" w:rsidRDefault="00A653FE" w:rsidP="00F3414D">
      <w:pPr>
        <w:jc w:val="center"/>
      </w:pPr>
    </w:p>
    <w:p w14:paraId="495B1D87" w14:textId="4855724F" w:rsidR="00B26EDE" w:rsidRDefault="00957F77" w:rsidP="00B26EDE">
      <w:pPr>
        <w:pStyle w:val="Nadpis3"/>
      </w:pPr>
      <w:bookmarkStart w:id="29" w:name="_Toc500706003"/>
      <w:r w:rsidRPr="004635B8">
        <w:t>1 Globálne megatrendy</w:t>
      </w:r>
      <w:bookmarkEnd w:id="29"/>
    </w:p>
    <w:p w14:paraId="46CA9CCE" w14:textId="67CF5690" w:rsidR="00730990" w:rsidRPr="00DF0117" w:rsidRDefault="00730990" w:rsidP="000A3B89">
      <w:r w:rsidRPr="00DF0117">
        <w:t xml:space="preserve">V tejto téme sa zameriavame na úzko prepojené oblasti ekologickej a sociálnej udržateľnosti územia (sídla a krajina), pričom ako hlavný faktor ktorý na ich udržateľnosť </w:t>
      </w:r>
      <w:r w:rsidR="00603F25">
        <w:t>vplýva je analyzovaná zmen</w:t>
      </w:r>
      <w:r w:rsidR="000A3B89">
        <w:t>a klímy</w:t>
      </w:r>
      <w:r w:rsidRPr="00DF0117">
        <w:t xml:space="preserve">. Globálne otepľovanie podľa kľúčových štúdií a hodnotení prebieha a je </w:t>
      </w:r>
      <w:r w:rsidR="00603F25" w:rsidRPr="00DF0117">
        <w:t>rýchlejšie</w:t>
      </w:r>
      <w:r w:rsidRPr="00DF0117">
        <w:t xml:space="preserve"> ako bolo predpokladané. Podľa Piatej hodnotiacej správy IPCC </w:t>
      </w:r>
      <w:r w:rsidR="00664F42">
        <w:t>–</w:t>
      </w:r>
      <w:r w:rsidRPr="00DF0117">
        <w:t xml:space="preserve"> Medzivládneho</w:t>
      </w:r>
      <w:r w:rsidR="00664F42">
        <w:t xml:space="preserve"> </w:t>
      </w:r>
      <w:r w:rsidRPr="00DF0117">
        <w:t xml:space="preserve">panelu pre zmenu klímy sa </w:t>
      </w:r>
      <w:r w:rsidR="000A3B89" w:rsidRPr="00DF0117">
        <w:t xml:space="preserve">do </w:t>
      </w:r>
      <w:r w:rsidRPr="00DF0117">
        <w:t xml:space="preserve">roku 2100 môže Zem v porovnaní s predindustriálnou úrovňou v priemere otepliť o 1,5 až 4,5 °C (Fifth Assessment Report AR5). </w:t>
      </w:r>
      <w:r w:rsidR="000A3B89">
        <w:t>N</w:t>
      </w:r>
      <w:r w:rsidRPr="00DF0117">
        <w:t xml:space="preserve">a </w:t>
      </w:r>
      <w:r w:rsidR="000A3B89">
        <w:t>g</w:t>
      </w:r>
      <w:r w:rsidRPr="00DF0117">
        <w:t>lobálnej (OSN), regionálnej (EÚ)</w:t>
      </w:r>
      <w:r w:rsidR="000A3B89">
        <w:t>,</w:t>
      </w:r>
      <w:r w:rsidRPr="00DF0117">
        <w:t xml:space="preserve"> aj národnej úrovni</w:t>
      </w:r>
      <w:r w:rsidR="000A3B89" w:rsidRPr="000A3B89">
        <w:t xml:space="preserve"> </w:t>
      </w:r>
      <w:r w:rsidR="000A3B89">
        <w:t>e</w:t>
      </w:r>
      <w:r w:rsidR="000A3B89" w:rsidRPr="00DF0117">
        <w:t>xistuje konsenzus</w:t>
      </w:r>
      <w:r w:rsidRPr="00DF0117">
        <w:t>, že riešením</w:t>
      </w:r>
      <w:r w:rsidR="000A3B89">
        <w:t xml:space="preserve"> pre</w:t>
      </w:r>
      <w:r w:rsidRPr="00DF0117">
        <w:t xml:space="preserve"> zmierneni</w:t>
      </w:r>
      <w:r w:rsidR="000A3B89">
        <w:t>e</w:t>
      </w:r>
      <w:r w:rsidRPr="00DF0117">
        <w:t xml:space="preserve"> trendov a elimináci</w:t>
      </w:r>
      <w:r w:rsidR="000A3B89">
        <w:t>u</w:t>
      </w:r>
      <w:r w:rsidRPr="00DF0117">
        <w:t xml:space="preserve"> negatívnych dôsledkov zmeny klímy je kombinácia </w:t>
      </w:r>
      <w:r w:rsidR="00523333">
        <w:rPr>
          <w:i/>
        </w:rPr>
        <w:t xml:space="preserve">zmierňovania </w:t>
      </w:r>
      <w:r w:rsidRPr="00DF0117">
        <w:t>(opatrenia zamerané na znižovanie emisií skleníkových plynov) a </w:t>
      </w:r>
      <w:r w:rsidRPr="00DF0117">
        <w:rPr>
          <w:i/>
        </w:rPr>
        <w:t>adaptácie</w:t>
      </w:r>
      <w:r w:rsidRPr="00DF0117">
        <w:t xml:space="preserve"> (opatreniami zamerané na riešenie dôsledkov). V oboch prístupoch ide</w:t>
      </w:r>
      <w:r w:rsidR="000A3B89">
        <w:t xml:space="preserve"> o</w:t>
      </w:r>
      <w:r w:rsidRPr="00DF0117">
        <w:t xml:space="preserve"> nachádzanie ciest dosahovania čo najlepších výsledkov za optimálne ekonomické, </w:t>
      </w:r>
      <w:r w:rsidR="000A3B89" w:rsidRPr="00DF0117">
        <w:t xml:space="preserve">sociálne </w:t>
      </w:r>
      <w:r w:rsidRPr="00DF0117">
        <w:t xml:space="preserve">a </w:t>
      </w:r>
      <w:r w:rsidR="000A3B89" w:rsidRPr="00DF0117">
        <w:t xml:space="preserve">environmentálne </w:t>
      </w:r>
      <w:r w:rsidRPr="00DF0117">
        <w:t>náklady.</w:t>
      </w:r>
    </w:p>
    <w:p w14:paraId="65EE58FC" w14:textId="2779D6A2" w:rsidR="00730990" w:rsidRPr="00DF0117" w:rsidRDefault="00730990" w:rsidP="000A3B89">
      <w:pPr>
        <w:rPr>
          <w:color w:val="000000" w:themeColor="text1"/>
        </w:rPr>
      </w:pPr>
      <w:r w:rsidRPr="00DF0117">
        <w:rPr>
          <w:color w:val="000000" w:themeColor="text1"/>
        </w:rPr>
        <w:t>Situácia v Európe je relatívne pozitívna - v posledných rokoch sa darí znižovať nár</w:t>
      </w:r>
      <w:r w:rsidR="00603F25">
        <w:rPr>
          <w:color w:val="000000" w:themeColor="text1"/>
        </w:rPr>
        <w:t>ast emisií skleníkových plynov a </w:t>
      </w:r>
      <w:r w:rsidR="000A3B89">
        <w:rPr>
          <w:color w:val="000000" w:themeColor="text1"/>
        </w:rPr>
        <w:t xml:space="preserve">EÚ </w:t>
      </w:r>
      <w:r w:rsidR="00603F25">
        <w:rPr>
          <w:color w:val="000000" w:themeColor="text1"/>
        </w:rPr>
        <w:t>dosiahla</w:t>
      </w:r>
      <w:r w:rsidRPr="00DF0117">
        <w:rPr>
          <w:color w:val="000000" w:themeColor="text1"/>
        </w:rPr>
        <w:t xml:space="preserve"> </w:t>
      </w:r>
      <w:r w:rsidR="00603F25" w:rsidRPr="00DF0117">
        <w:rPr>
          <w:color w:val="000000" w:themeColor="text1"/>
        </w:rPr>
        <w:t xml:space="preserve">v roku 2013 </w:t>
      </w:r>
      <w:r w:rsidR="00603F25">
        <w:rPr>
          <w:color w:val="000000" w:themeColor="text1"/>
        </w:rPr>
        <w:t xml:space="preserve">v </w:t>
      </w:r>
      <w:r w:rsidRPr="00DF0117">
        <w:rPr>
          <w:color w:val="000000" w:themeColor="text1"/>
        </w:rPr>
        <w:t xml:space="preserve">priemere 20% pokles skleníkových plynov </w:t>
      </w:r>
      <w:r w:rsidR="00603F25">
        <w:rPr>
          <w:color w:val="000000" w:themeColor="text1"/>
        </w:rPr>
        <w:t xml:space="preserve">oproti roku 1990. </w:t>
      </w:r>
      <w:r w:rsidRPr="00DF0117">
        <w:rPr>
          <w:color w:val="000000" w:themeColor="text1"/>
        </w:rPr>
        <w:t xml:space="preserve">Európske krajiny ale budú musieť čoraz viac investovať do adaptačných opatrení. Dominantným problémom Slovenska sú emisie spojené s výrobou energie a dopravou. Tie sa v roku 2013 podieľali na celkových emisiách </w:t>
      </w:r>
      <w:r w:rsidR="000A3B89">
        <w:rPr>
          <w:color w:val="000000" w:themeColor="text1"/>
        </w:rPr>
        <w:t xml:space="preserve">na </w:t>
      </w:r>
      <w:r w:rsidRPr="00DF0117">
        <w:rPr>
          <w:color w:val="000000" w:themeColor="text1"/>
        </w:rPr>
        <w:t>68,5 %. Priemyselné procesy generovali 18,7 %, poľnohospodárstvo je zodpovedné za 7,3 % a odpadové hospodárstvo za 5</w:t>
      </w:r>
      <w:r w:rsidR="00523333">
        <w:rPr>
          <w:color w:val="000000" w:themeColor="text1"/>
        </w:rPr>
        <w:t> </w:t>
      </w:r>
      <w:r w:rsidRPr="00DF0117">
        <w:rPr>
          <w:color w:val="000000" w:themeColor="text1"/>
        </w:rPr>
        <w:t xml:space="preserve">% </w:t>
      </w:r>
      <w:r w:rsidR="00603F25" w:rsidRPr="00DF0117">
        <w:rPr>
          <w:color w:val="000000" w:themeColor="text1"/>
        </w:rPr>
        <w:t xml:space="preserve">skleníkových plynov </w:t>
      </w:r>
      <w:r w:rsidRPr="00DF0117">
        <w:rPr>
          <w:color w:val="000000" w:themeColor="text1"/>
        </w:rPr>
        <w:t>(SHMÚ, 2016). Tento pomer je rámcovo podobný vo všetkých industrializovaných a rozvinutých krajinách. Stratégiou je zvyšovať podiel obnoviteľných zdrojov energie a zvyšovať úspory v priemysle a domácnostiach.</w:t>
      </w:r>
    </w:p>
    <w:p w14:paraId="03D8A6B3" w14:textId="5F6F8EFA" w:rsidR="00730990" w:rsidRPr="00DF0117" w:rsidRDefault="00603F25" w:rsidP="00730990">
      <w:pPr>
        <w:rPr>
          <w:rFonts w:cs="Arial"/>
        </w:rPr>
      </w:pPr>
      <w:r>
        <w:rPr>
          <w:color w:val="000000" w:themeColor="text1"/>
        </w:rPr>
        <w:t xml:space="preserve">Trendom je riešiť znižovanie emisií skleníkových plynov v kontexte definovaných území </w:t>
      </w:r>
      <w:r w:rsidR="000A3B89">
        <w:rPr>
          <w:color w:val="000000" w:themeColor="text1"/>
        </w:rPr>
        <w:br/>
      </w:r>
      <w:r>
        <w:rPr>
          <w:color w:val="000000" w:themeColor="text1"/>
        </w:rPr>
        <w:t xml:space="preserve">a v nadväznosti na ďalšie nepriaznivé faktory. </w:t>
      </w:r>
      <w:r w:rsidR="00730990" w:rsidRPr="00DF0117">
        <w:rPr>
          <w:color w:val="000000" w:themeColor="text1"/>
        </w:rPr>
        <w:t xml:space="preserve">S tým ako sa zvyšuje miera urbanizácie </w:t>
      </w:r>
      <w:r w:rsidR="000A3B89">
        <w:rPr>
          <w:color w:val="000000" w:themeColor="text1"/>
        </w:rPr>
        <w:br/>
      </w:r>
      <w:r w:rsidR="00730990" w:rsidRPr="00DF0117">
        <w:rPr>
          <w:color w:val="000000" w:themeColor="text1"/>
        </w:rPr>
        <w:t>vo svete, stáva sa kľúčovou otázkou manažment sídiel a vystavenie mestského obyvateľstva</w:t>
      </w:r>
      <w:r>
        <w:rPr>
          <w:color w:val="000000" w:themeColor="text1"/>
        </w:rPr>
        <w:t xml:space="preserve"> znečisteniu ovzdušia. P</w:t>
      </w:r>
      <w:r w:rsidR="00730990" w:rsidRPr="00DF0117">
        <w:rPr>
          <w:color w:val="000000" w:themeColor="text1"/>
        </w:rPr>
        <w:t xml:space="preserve">roblémom sú </w:t>
      </w:r>
      <w:r w:rsidR="000A3B89">
        <w:rPr>
          <w:color w:val="000000" w:themeColor="text1"/>
        </w:rPr>
        <w:t xml:space="preserve">predovšetkým </w:t>
      </w:r>
      <w:r w:rsidR="00730990" w:rsidRPr="00DF0117">
        <w:rPr>
          <w:color w:val="000000" w:themeColor="text1"/>
        </w:rPr>
        <w:t>tuhé znečisťujúce látky. Z</w:t>
      </w:r>
      <w:r w:rsidR="00730990" w:rsidRPr="00DF0117">
        <w:rPr>
          <w:rFonts w:cs="Arial"/>
        </w:rPr>
        <w:t>nečistenie prostredia sa vytvára z troch hlavných zdrojov:</w:t>
      </w:r>
      <w:r w:rsidR="00730990" w:rsidRPr="00DF0117">
        <w:rPr>
          <w:color w:val="000000" w:themeColor="text1"/>
        </w:rPr>
        <w:t xml:space="preserve"> (i) </w:t>
      </w:r>
      <w:r w:rsidR="00730990" w:rsidRPr="00DF0117">
        <w:rPr>
          <w:rFonts w:cs="Arial"/>
        </w:rPr>
        <w:t>spaľovanie pevných a fosílnych palív v priemysle a doprave,</w:t>
      </w:r>
      <w:r w:rsidR="00730990" w:rsidRPr="00DF0117">
        <w:rPr>
          <w:color w:val="000000" w:themeColor="text1"/>
        </w:rPr>
        <w:t xml:space="preserve"> (ii) </w:t>
      </w:r>
      <w:r w:rsidR="00730990" w:rsidRPr="00DF0117">
        <w:rPr>
          <w:rFonts w:cs="Arial"/>
        </w:rPr>
        <w:t>umelé hnojivá a pesticídy</w:t>
      </w:r>
      <w:r w:rsidR="00730990" w:rsidRPr="00DF0117">
        <w:rPr>
          <w:color w:val="000000" w:themeColor="text1"/>
        </w:rPr>
        <w:t>, (</w:t>
      </w:r>
      <w:r w:rsidR="00523333" w:rsidRPr="00DF0117">
        <w:rPr>
          <w:color w:val="000000" w:themeColor="text1"/>
        </w:rPr>
        <w:t>iii</w:t>
      </w:r>
      <w:r w:rsidR="00730990" w:rsidRPr="00DF0117">
        <w:rPr>
          <w:color w:val="000000" w:themeColor="text1"/>
        </w:rPr>
        <w:t xml:space="preserve">) </w:t>
      </w:r>
      <w:r w:rsidR="00730990" w:rsidRPr="00DF0117">
        <w:rPr>
          <w:rFonts w:cs="Arial"/>
        </w:rPr>
        <w:t>nárast kom</w:t>
      </w:r>
      <w:r w:rsidR="006A23D0" w:rsidRPr="00DF0117">
        <w:rPr>
          <w:rFonts w:cs="Arial"/>
        </w:rPr>
        <w:t>p</w:t>
      </w:r>
      <w:r w:rsidR="00730990" w:rsidRPr="00DF0117">
        <w:rPr>
          <w:rFonts w:cs="Arial"/>
        </w:rPr>
        <w:t xml:space="preserve">lexnej chemizácie prostredia. </w:t>
      </w:r>
    </w:p>
    <w:p w14:paraId="76E5920E" w14:textId="4A001A38" w:rsidR="00957F77" w:rsidRDefault="00603F25" w:rsidP="00957F77">
      <w:pPr>
        <w:rPr>
          <w:color w:val="000000" w:themeColor="text1"/>
        </w:rPr>
      </w:pPr>
      <w:r>
        <w:rPr>
          <w:rFonts w:cs="Arial"/>
        </w:rPr>
        <w:t xml:space="preserve">Mestské aglomerácie treba zároveň chápať v kontexte krajiny. Tu je hlavnou výzvou </w:t>
      </w:r>
      <w:r w:rsidR="00730990" w:rsidRPr="00DF0117">
        <w:rPr>
          <w:rFonts w:cs="Arial"/>
        </w:rPr>
        <w:t xml:space="preserve"> ochra</w:t>
      </w:r>
      <w:r w:rsidR="006A23D0" w:rsidRPr="00DF0117">
        <w:rPr>
          <w:rFonts w:cs="Arial"/>
        </w:rPr>
        <w:t>na</w:t>
      </w:r>
      <w:r w:rsidR="00730990" w:rsidRPr="00DF0117">
        <w:rPr>
          <w:rFonts w:cs="Arial"/>
        </w:rPr>
        <w:t xml:space="preserve"> ekosystémov. </w:t>
      </w:r>
      <w:r w:rsidR="00730990" w:rsidRPr="00DF0117">
        <w:rPr>
          <w:color w:val="000000" w:themeColor="text1"/>
        </w:rPr>
        <w:t xml:space="preserve">Napriek nenahraditeľnému významu, ktorý plnia v krajine, dochádza k ich neustálemu ohrozovaniu a degradácii. Výrazne sa ovplyvňujú aj ich služby. Podľa informácií Organizácie pre výživu a poľnohospodárstvo (FAO) je až 60 % svetových ekosystémov degradovaných a využívaných neudržateľne. Od roku 1990 </w:t>
      </w:r>
      <w:r w:rsidR="000A3B89" w:rsidRPr="00DF0117">
        <w:rPr>
          <w:color w:val="000000" w:themeColor="text1"/>
        </w:rPr>
        <w:t xml:space="preserve">zaniklo na svete až 75 % </w:t>
      </w:r>
      <w:r w:rsidR="00730990" w:rsidRPr="00DF0117">
        <w:rPr>
          <w:color w:val="000000" w:themeColor="text1"/>
        </w:rPr>
        <w:t xml:space="preserve">geneticky poľnohospodárskych plodín (Tubiello et al., 2014). V EÚ už vykazuje priaznivý stav iba 16 % biotopov a 23 % druhov chránených európskou legislatívou (EEA, 2015). Tento stav </w:t>
      </w:r>
      <w:r w:rsidR="000A3B89">
        <w:rPr>
          <w:color w:val="000000" w:themeColor="text1"/>
        </w:rPr>
        <w:t>nastal</w:t>
      </w:r>
      <w:r w:rsidR="000A3B89" w:rsidRPr="00DF0117">
        <w:rPr>
          <w:color w:val="000000" w:themeColor="text1"/>
        </w:rPr>
        <w:t xml:space="preserve"> </w:t>
      </w:r>
      <w:r w:rsidR="00730990" w:rsidRPr="00DF0117">
        <w:rPr>
          <w:color w:val="000000" w:themeColor="text1"/>
        </w:rPr>
        <w:t xml:space="preserve">aj </w:t>
      </w:r>
      <w:r w:rsidR="00730990" w:rsidRPr="00DF0117">
        <w:rPr>
          <w:color w:val="000000" w:themeColor="text1"/>
        </w:rPr>
        <w:lastRenderedPageBreak/>
        <w:t>napriek tomu, že v roku 2001 boli prijaté opatrenia v boji proti strate biodiverzity. I naďalej tak zaznamenávame pokračujúci a rastúci tlak na ekosystémy a ich služby.</w:t>
      </w:r>
    </w:p>
    <w:p w14:paraId="00FAA52C" w14:textId="77777777" w:rsidR="00AC78DF" w:rsidRPr="00024B70" w:rsidRDefault="00AC78DF" w:rsidP="00957F77">
      <w:pPr>
        <w:rPr>
          <w:color w:val="000000" w:themeColor="text1"/>
        </w:rPr>
      </w:pPr>
    </w:p>
    <w:p w14:paraId="60211281" w14:textId="77777777" w:rsidR="00957F77" w:rsidRPr="00555D1B" w:rsidRDefault="00957F77" w:rsidP="00715F57">
      <w:pPr>
        <w:pStyle w:val="Nadpis3"/>
        <w:rPr>
          <w:bCs/>
        </w:rPr>
      </w:pPr>
      <w:bookmarkStart w:id="30" w:name="_Toc500706004"/>
      <w:r>
        <w:t>2 Pozícia Slovenska</w:t>
      </w:r>
      <w:bookmarkEnd w:id="30"/>
    </w:p>
    <w:p w14:paraId="41C7B863" w14:textId="0782234B" w:rsidR="00603F25" w:rsidRDefault="00730990" w:rsidP="00730990">
      <w:r w:rsidRPr="00DF0117">
        <w:t>Na Slovensku dosiahol pokles skleníkových plynov v roku 2014 oproti roku 1990 až 42</w:t>
      </w:r>
      <w:r w:rsidR="00523333">
        <w:t xml:space="preserve"> </w:t>
      </w:r>
      <w:r w:rsidRPr="00DF0117">
        <w:t>%. Jediným ekonomickým sektorom, ktorý vykazuje zvyšovanie emisií skleníkových plynov (</w:t>
      </w:r>
      <w:r w:rsidR="00603F25">
        <w:t>v tomto prípade CO</w:t>
      </w:r>
      <w:r w:rsidR="00603F25" w:rsidRPr="00E6350E">
        <w:rPr>
          <w:vertAlign w:val="subscript"/>
        </w:rPr>
        <w:t>2</w:t>
      </w:r>
      <w:r w:rsidR="00603F25">
        <w:t xml:space="preserve">) je doprava, ktorú bude potrebné riešiť v komplexnom prístupe k mobilite, výrobe  a službám. </w:t>
      </w:r>
      <w:r w:rsidRPr="00DF0117">
        <w:t xml:space="preserve">  </w:t>
      </w:r>
    </w:p>
    <w:p w14:paraId="5D62D9EF" w14:textId="0002EC23" w:rsidR="00730990" w:rsidRPr="00DF0117" w:rsidRDefault="00730990" w:rsidP="00730990">
      <w:r w:rsidRPr="00DF0117">
        <w:t xml:space="preserve">Podľa odhadov EK založených na vnútroštátnych prognózach (pri zohľadnení existujúcich opatrení) sa očakáva, že emisie z odvetví, ktoré nie sú zahrnuté do systému EÚ na obchodovanie s emisiami, poklesnú v roku 2020 až o predpokladaných 21 % v porovnaní s rokom 2005 (pri </w:t>
      </w:r>
      <w:r w:rsidRPr="007160B3">
        <w:t>ESD</w:t>
      </w:r>
      <w:r w:rsidR="007160B3" w:rsidRPr="00E6350E">
        <w:rPr>
          <w:rStyle w:val="Znakapoznpodarou"/>
        </w:rPr>
        <w:footnoteReference w:id="59"/>
      </w:r>
      <w:r w:rsidRPr="00DF0117">
        <w:t xml:space="preserve"> 22 %). Analýza údajov a trendov v tejto správe indikuje, že ide o veľmi konzervatívny odhad a skutočné zníženie bude zrejme väčšie. </w:t>
      </w:r>
    </w:p>
    <w:p w14:paraId="344F93D2" w14:textId="13D4385A" w:rsidR="00730990" w:rsidRPr="00DF0117" w:rsidRDefault="00730990" w:rsidP="00027B89">
      <w:r w:rsidRPr="00DF0117">
        <w:t>Ak sa pozrieme na celkové emisie CO</w:t>
      </w:r>
      <w:r w:rsidRPr="00E6350E">
        <w:rPr>
          <w:vertAlign w:val="subscript"/>
        </w:rPr>
        <w:t>2</w:t>
      </w:r>
      <w:r w:rsidRPr="00DF0117">
        <w:t xml:space="preserve"> (mimo </w:t>
      </w:r>
      <w:r w:rsidRPr="007160B3">
        <w:t>LULUCF</w:t>
      </w:r>
      <w:r w:rsidR="007160B3" w:rsidRPr="00E6350E">
        <w:rPr>
          <w:rStyle w:val="Znakapoznpodarou"/>
        </w:rPr>
        <w:footnoteReference w:id="60"/>
      </w:r>
      <w:r w:rsidRPr="00DF0117">
        <w:t>), tak oproti roku 1990 predstavovali emisie v roku 2015 iba 45,31 % predchádzajúceho stavu. Ak nedôjde k neočakávaným zmenám, bude cieľ</w:t>
      </w:r>
      <w:r w:rsidR="000A3B89">
        <w:t xml:space="preserve"> stanovený </w:t>
      </w:r>
      <w:r w:rsidR="00027B89">
        <w:t>s</w:t>
      </w:r>
      <w:r w:rsidR="000A3B89">
        <w:t>tratégiou E</w:t>
      </w:r>
      <w:r w:rsidR="00027B89">
        <w:t>urópa</w:t>
      </w:r>
      <w:r w:rsidR="000A3B89">
        <w:t xml:space="preserve"> 2020</w:t>
      </w:r>
      <w:r w:rsidRPr="00DF0117">
        <w:t xml:space="preserve"> vysoko prekročený. Pri odrátaní vplyvu štrukturálnych zmien po roku 1990 (hlavne deindustrializácia), mali po roku 2005 vplyv hlavne investície zamerané na znižovanie spotreby energie, zvyšovanie podielu </w:t>
      </w:r>
      <w:r w:rsidR="000A3B89">
        <w:t>obnoviteľných zdrojov energie (</w:t>
      </w:r>
      <w:r w:rsidRPr="00DF0117">
        <w:t>OZE</w:t>
      </w:r>
      <w:r w:rsidR="000A3B89">
        <w:t>)</w:t>
      </w:r>
      <w:r w:rsidRPr="00DF0117">
        <w:t xml:space="preserve">, podpora technologických zmien v priemysle a zmeny v štruktúre ekonomiky. </w:t>
      </w:r>
      <w:r w:rsidR="00603F25">
        <w:t xml:space="preserve">Slovenská ekonomika je ale napriek pokroku jednou </w:t>
      </w:r>
      <w:r w:rsidR="00570EC2">
        <w:t xml:space="preserve">z najviac energeticky náročných ekonomík v rámci OECD. </w:t>
      </w:r>
    </w:p>
    <w:p w14:paraId="6BE6ABA3" w14:textId="60AB6F41" w:rsidR="00730990" w:rsidRPr="00DF0117" w:rsidRDefault="00730990" w:rsidP="000A3B89">
      <w:r w:rsidRPr="00DF0117">
        <w:t>Cieľom SR je dosiahnuť podiel energie z obnoviteľných zdrojov do roku 2020 na hrubej konečnej energetickej spotrebe na úrovni 14 %, k čomu treba pridať aj záväzok SR dosiahnuť podiel energie z obnoviteľných zdrojov vo všetkých druhoch dopravy na úrovni 10 %. Podiel OZE dosiahol v roku 2012 hodnotu 10,4 %, do roku 2015 mierne stúpol na 12,9 %. Analýza situácie a trendov indikuje, že cieľ 14 % OZE by mal byť naplnený</w:t>
      </w:r>
      <w:r w:rsidR="00B4138F">
        <w:t xml:space="preserve"> (Príloha 4, Graf 11)</w:t>
      </w:r>
      <w:r w:rsidRPr="00DF0117">
        <w:t>, ale nebude to automatické a existujú riziká vyplývajúce hlavne zo zmien v podnikateľskom prostr</w:t>
      </w:r>
      <w:r w:rsidR="00AC1332">
        <w:t>edí</w:t>
      </w:r>
      <w:r w:rsidRPr="00DF0117">
        <w:t xml:space="preserve">. Podiel biopalív na hodnote 10 % bude závisieť na cenovom vývoji a dostupnosti palív a schopnosti vyrábať biopalivá tzv. druhej generácie. V oblasti energetickej efektívnosti je cieľ Slovenska do roku 2020 znížiť konečnú energetickú spotrebu o 11 % voči priemeru rokov 2001 – 2005, čo pre jednotnú bázu porovnávania v rámci EÚ znamená cieľ dosiahnuť 16,2 </w:t>
      </w:r>
      <w:r w:rsidRPr="00027B89">
        <w:t>Mtoe</w:t>
      </w:r>
      <w:r w:rsidRPr="00DF0117">
        <w:t xml:space="preserve"> vyjadrený v primárnej spotrebe energie (10,0 Mtoe vyjadrený v konečnej spotrebe energie) . Slovensko smeruje k</w:t>
      </w:r>
      <w:r w:rsidR="000A3B89">
        <w:t> </w:t>
      </w:r>
      <w:r w:rsidRPr="00DF0117">
        <w:t>naplneniu</w:t>
      </w:r>
      <w:r w:rsidR="000A3B89">
        <w:t xml:space="preserve"> aj</w:t>
      </w:r>
      <w:r w:rsidRPr="00DF0117">
        <w:t xml:space="preserve"> tohto cieľa. </w:t>
      </w:r>
    </w:p>
    <w:p w14:paraId="0B538FF1" w14:textId="2BD7FA57" w:rsidR="00730990" w:rsidRPr="00DF0117" w:rsidRDefault="00730990" w:rsidP="000A3B89">
      <w:r w:rsidRPr="00DF0117">
        <w:t>Pomerne pozitívne výsledky v oblasti znižovania emisií a v zmene vzorcov výroby a spotreby energie</w:t>
      </w:r>
      <w:r w:rsidR="00B4138F">
        <w:t xml:space="preserve"> (Príloha 4, Graf 12)</w:t>
      </w:r>
      <w:r w:rsidRPr="00DF0117">
        <w:t xml:space="preserve"> ale nie sú premietnuté do ďalších oblastí. V podpore vedy a výskumu v oblasti zelených technológií Slovensko zaostáva a sekundárne efekty v sociálnej oblasti a tvorbe pracovných miest sú za </w:t>
      </w:r>
      <w:r w:rsidR="000A3B89">
        <w:t>výsledkami</w:t>
      </w:r>
      <w:r w:rsidR="000A3B89" w:rsidRPr="00DF0117">
        <w:t xml:space="preserve"> </w:t>
      </w:r>
      <w:r w:rsidRPr="00DF0117">
        <w:t xml:space="preserve">porovnateľných krajín. SR podľa analýzy nevyužíva dostatočne priestor na prepojenie vedy a výskumu s praxou. OZE a energetické úspory predstavujú priestor pre rozvoj domáceho priemyslu a ekonomický rast. </w:t>
      </w:r>
    </w:p>
    <w:p w14:paraId="1FC5D09E" w14:textId="17AB9A66" w:rsidR="00730990" w:rsidRPr="00DF0117" w:rsidRDefault="00730990" w:rsidP="000A3B89">
      <w:pPr>
        <w:rPr>
          <w:rFonts w:eastAsia="Calibri"/>
        </w:rPr>
      </w:pPr>
      <w:r w:rsidRPr="00DF0117">
        <w:t>Problém</w:t>
      </w:r>
      <w:r w:rsidR="000A3B89">
        <w:t>om</w:t>
      </w:r>
      <w:r w:rsidRPr="00DF0117">
        <w:t xml:space="preserve"> </w:t>
      </w:r>
      <w:r w:rsidR="000A3B89">
        <w:t>zostáva</w:t>
      </w:r>
      <w:r w:rsidRPr="00DF0117">
        <w:t xml:space="preserve"> zhodnocovanie odpadov. </w:t>
      </w:r>
      <w:r w:rsidRPr="00DF0117">
        <w:rPr>
          <w:rFonts w:eastAsia="Calibri"/>
        </w:rPr>
        <w:t xml:space="preserve">Ani pomerne rozsiahle investície v tejto oblasti nedokázali zásadne naštartovať rast recyklácie a plnenie plánovaných cieľov. </w:t>
      </w:r>
      <w:r w:rsidRPr="00DF0117">
        <w:t xml:space="preserve">Podľa záväzkov by malo do roku 2020 Slovensko dosiahnuť 50% úroveň recyklácie. V realite sa v roku 2015 dostala krajina na 12,7 %. </w:t>
      </w:r>
    </w:p>
    <w:p w14:paraId="02E0FC7E" w14:textId="7559D9AA" w:rsidR="00730990" w:rsidRPr="00DF0117" w:rsidRDefault="00730990" w:rsidP="00730990">
      <w:r w:rsidRPr="00DF0117">
        <w:lastRenderedPageBreak/>
        <w:t xml:space="preserve">Na druhej strane slovenská ekonomika vykazuje pozitívny trend v odpútaní ekonomického rastu od spotreby zdrojov a produkcie odpadov (tzv. </w:t>
      </w:r>
      <w:r w:rsidRPr="00DF0117">
        <w:rPr>
          <w:i/>
        </w:rPr>
        <w:t>Decoupling</w:t>
      </w:r>
      <w:r w:rsidRPr="00DF0117">
        <w:t>), ktoré je ale spojené s rastúcim tlakom na ekosystémy a ich služby. Výmera poľnohospodárskej pôdy klesla medzi rokmi 1996 a 2015 o 4,4 %. Z biotopov európskeho významu bolo v nepriaznivom stave až 59,5 %. Problém</w:t>
      </w:r>
      <w:r w:rsidR="000A3B89">
        <w:t>om</w:t>
      </w:r>
      <w:r w:rsidRPr="00DF0117">
        <w:t xml:space="preserve"> je</w:t>
      </w:r>
      <w:r w:rsidR="000A3B89">
        <w:t xml:space="preserve"> aj</w:t>
      </w:r>
      <w:r w:rsidRPr="00DF0117">
        <w:t xml:space="preserve"> komerčná lesohospodárska činnosť (čiastočne spojená zo zvyšovaním dopytu po biomase pre výrobu energie), fragmentácia krajiny kvôli výstavbe dopravnej infraštruktúry a sub-urbanizmu a rastúci tlak na športové a rekreačné využívanie krajiny (najmä spojené s výstavbou lyžiarskych stredísk). </w:t>
      </w:r>
    </w:p>
    <w:p w14:paraId="0C431F01" w14:textId="77777777" w:rsidR="00730990" w:rsidRPr="00DF0117" w:rsidRDefault="00730990" w:rsidP="00730990">
      <w:pPr>
        <w:pStyle w:val="Telotextu"/>
        <w:spacing w:line="240" w:lineRule="auto"/>
        <w:rPr>
          <w:rFonts w:ascii="Times New Roman" w:hAnsi="Times New Roman" w:cs="Times New Roman"/>
          <w:sz w:val="24"/>
          <w:szCs w:val="24"/>
          <w:lang w:val="sk-SK"/>
        </w:rPr>
      </w:pPr>
      <w:r w:rsidRPr="00DF0117">
        <w:rPr>
          <w:rFonts w:ascii="Times New Roman" w:hAnsi="Times New Roman" w:cs="Times New Roman"/>
          <w:sz w:val="24"/>
          <w:szCs w:val="24"/>
          <w:lang w:val="sk-SK"/>
        </w:rPr>
        <w:t xml:space="preserve">Najväčší úbytok pôvodných </w:t>
      </w:r>
      <w:r w:rsidRPr="00027B89">
        <w:rPr>
          <w:rFonts w:ascii="Times New Roman" w:hAnsi="Times New Roman" w:cs="Times New Roman"/>
          <w:sz w:val="24"/>
          <w:szCs w:val="24"/>
          <w:lang w:val="sk-SK"/>
        </w:rPr>
        <w:t>reprezentatívnych geosystémov</w:t>
      </w:r>
      <w:r w:rsidRPr="00DF0117">
        <w:rPr>
          <w:rFonts w:ascii="Times New Roman" w:hAnsi="Times New Roman" w:cs="Times New Roman"/>
          <w:sz w:val="24"/>
          <w:szCs w:val="24"/>
          <w:lang w:val="sk-SK"/>
        </w:rPr>
        <w:t xml:space="preserve"> (tzv. REPGES) vykazujú nížinné oblasti Podunajská rovina, Podunajská pahorkatina, Východoslovenská rovina, Juhoslovenské kotliny, Dolnomoravský úval, Považské podolie a pod., kde sú dominantným prvkom krajinnej štruktúry veľkoblokové plochy ornej pôdy – agroekosystémy, prípadne urbanizované areály – urbánne ekosystémy. Nepriaznivú ekologickú kvalitu priestorovej štruktúry vykazujú aj kotliny (Zvolenská, Turčianska, Žilinská, Žiarska, Pliešovská a pod.), kde podiel ekostabilizačných prvkov neprevyšuje 30 % celkovej výmery.</w:t>
      </w:r>
    </w:p>
    <w:p w14:paraId="6FCFBC99" w14:textId="1FD75503" w:rsidR="00957F77" w:rsidRDefault="00730990" w:rsidP="00024B70">
      <w:pPr>
        <w:spacing w:after="0" w:line="225" w:lineRule="atLeast"/>
        <w:rPr>
          <w:color w:val="000000" w:themeColor="text1"/>
        </w:rPr>
      </w:pPr>
      <w:r w:rsidRPr="00DF0117">
        <w:t>Kvalita ovzdušia v osídleniach nie je priaznivá</w:t>
      </w:r>
      <w:r w:rsidR="000A3B89">
        <w:t>,</w:t>
      </w:r>
      <w:r w:rsidRPr="00DF0117">
        <w:t xml:space="preserve"> </w:t>
      </w:r>
      <w:r w:rsidR="000A3B89">
        <w:t>h</w:t>
      </w:r>
      <w:r w:rsidRPr="00DF0117">
        <w:t>lavne kvôli nárastu osobnej automobilovej dopravy a zaostávan</w:t>
      </w:r>
      <w:r w:rsidR="000A3B89">
        <w:t>iu</w:t>
      </w:r>
      <w:r w:rsidRPr="00DF0117">
        <w:t xml:space="preserve"> v rozvoji komplexných prístupov k mestskej mobilite. Slovenskej republike sa síce darí plniť medzinárodn</w:t>
      </w:r>
      <w:r w:rsidR="000A3B89">
        <w:t>é</w:t>
      </w:r>
      <w:r w:rsidRPr="00DF0117">
        <w:t xml:space="preserve"> záväzk</w:t>
      </w:r>
      <w:r w:rsidR="000A3B89">
        <w:t>y</w:t>
      </w:r>
      <w:r w:rsidRPr="00DF0117">
        <w:t xml:space="preserve"> a pre mnohé sledované znečisťujúce látky bol  zaznamenaný klesajúci trend</w:t>
      </w:r>
      <w:r w:rsidR="000A3B89">
        <w:t>,</w:t>
      </w:r>
      <w:r w:rsidRPr="00DF0117">
        <w:t xml:space="preserve"> </w:t>
      </w:r>
      <w:r w:rsidR="000A3B89">
        <w:t>s</w:t>
      </w:r>
      <w:r w:rsidRPr="00DF0117">
        <w:t xml:space="preserve">ledujeme </w:t>
      </w:r>
      <w:r w:rsidR="000A3B89">
        <w:t>však</w:t>
      </w:r>
      <w:r w:rsidRPr="00DF0117">
        <w:t xml:space="preserve"> nárast emisií </w:t>
      </w:r>
      <w:r w:rsidRPr="00027B89">
        <w:t>SO</w:t>
      </w:r>
      <w:r w:rsidRPr="00027B89">
        <w:rPr>
          <w:vertAlign w:val="subscript"/>
        </w:rPr>
        <w:t>2</w:t>
      </w:r>
      <w:r w:rsidRPr="007160B3">
        <w:t>, PM</w:t>
      </w:r>
      <w:r w:rsidRPr="00E6350E">
        <w:rPr>
          <w:vertAlign w:val="subscript"/>
        </w:rPr>
        <w:t>2,5</w:t>
      </w:r>
      <w:r w:rsidRPr="00027B89">
        <w:t>, NMVOC a POPs (PCB a PAH) a Cd</w:t>
      </w:r>
      <w:r w:rsidRPr="00DF0117">
        <w:t xml:space="preserve">. </w:t>
      </w:r>
      <w:r w:rsidRPr="00DF0117">
        <w:rPr>
          <w:bCs w:val="0"/>
        </w:rPr>
        <w:t xml:space="preserve">V roku 2015 </w:t>
      </w:r>
      <w:r w:rsidR="000A3B89" w:rsidRPr="00DF0117">
        <w:rPr>
          <w:bCs w:val="0"/>
        </w:rPr>
        <w:t xml:space="preserve">došlo </w:t>
      </w:r>
      <w:r w:rsidRPr="00DF0117">
        <w:rPr>
          <w:bCs w:val="0"/>
        </w:rPr>
        <w:t>v porovnaní s rokom 2014 k poklesu  emisií  NO</w:t>
      </w:r>
      <w:r w:rsidR="00024B70">
        <w:rPr>
          <w:bCs w:val="0"/>
          <w:vertAlign w:val="subscript"/>
        </w:rPr>
        <w:t>x</w:t>
      </w:r>
      <w:r w:rsidRPr="00DF0117">
        <w:rPr>
          <w:bCs w:val="0"/>
        </w:rPr>
        <w:t xml:space="preserve"> a CO, naopak </w:t>
      </w:r>
      <w:r w:rsidR="000A3B89">
        <w:rPr>
          <w:bCs w:val="0"/>
        </w:rPr>
        <w:t xml:space="preserve">k </w:t>
      </w:r>
      <w:r w:rsidRPr="00DF0117">
        <w:rPr>
          <w:bCs w:val="0"/>
        </w:rPr>
        <w:t>miernemu nárastu v prípade emisií PM</w:t>
      </w:r>
      <w:r w:rsidRPr="00DF0117">
        <w:rPr>
          <w:bCs w:val="0"/>
          <w:vertAlign w:val="subscript"/>
        </w:rPr>
        <w:t>10</w:t>
      </w:r>
      <w:r w:rsidRPr="00DF0117">
        <w:rPr>
          <w:bCs w:val="0"/>
        </w:rPr>
        <w:t> a PM</w:t>
      </w:r>
      <w:r w:rsidRPr="00DF0117">
        <w:rPr>
          <w:bCs w:val="0"/>
          <w:vertAlign w:val="subscript"/>
        </w:rPr>
        <w:t xml:space="preserve">2,5 </w:t>
      </w:r>
      <w:r w:rsidRPr="00E6350E">
        <w:rPr>
          <w:bCs w:val="0"/>
        </w:rPr>
        <w:t>a </w:t>
      </w:r>
      <w:r w:rsidRPr="00DF0117">
        <w:rPr>
          <w:bCs w:val="0"/>
        </w:rPr>
        <w:t>výraznému</w:t>
      </w:r>
      <w:r w:rsidRPr="00DF0117">
        <w:rPr>
          <w:bCs w:val="0"/>
          <w:vertAlign w:val="subscript"/>
        </w:rPr>
        <w:t> </w:t>
      </w:r>
      <w:r w:rsidRPr="00DF0117">
        <w:rPr>
          <w:bCs w:val="0"/>
        </w:rPr>
        <w:t>nárastu v prípade SO</w:t>
      </w:r>
      <w:r w:rsidRPr="00DF0117">
        <w:rPr>
          <w:bCs w:val="0"/>
          <w:vertAlign w:val="subscript"/>
        </w:rPr>
        <w:t>2</w:t>
      </w:r>
      <w:r w:rsidRPr="00DF0117">
        <w:rPr>
          <w:bCs w:val="0"/>
        </w:rPr>
        <w:t xml:space="preserve"> (Enviroportál, 2017). </w:t>
      </w:r>
      <w:r w:rsidRPr="00DF0117">
        <w:rPr>
          <w:color w:val="000000" w:themeColor="text1"/>
        </w:rPr>
        <w:t xml:space="preserve">Z hľadiska priestorového hodnotenia kvality ovzdušia patria k najzaťaženejším oblasti v okolí veľkých priemyselných centier, ako je Bratislava, Košice – Prešov, Dolné Považie, Horné Považie, Stredný Spiš, Horná Nitra, Pohronie, Zemplín a </w:t>
      </w:r>
      <w:r w:rsidR="000A3B89">
        <w:rPr>
          <w:color w:val="000000" w:themeColor="text1"/>
        </w:rPr>
        <w:t>ďalej</w:t>
      </w:r>
      <w:r w:rsidR="000A3B89" w:rsidRPr="00DF0117">
        <w:rPr>
          <w:color w:val="000000" w:themeColor="text1"/>
        </w:rPr>
        <w:t xml:space="preserve"> </w:t>
      </w:r>
      <w:r w:rsidRPr="00DF0117">
        <w:rPr>
          <w:color w:val="000000" w:themeColor="text1"/>
        </w:rPr>
        <w:t>Žilinská, Turčianska a Popradská kotlina.</w:t>
      </w:r>
    </w:p>
    <w:p w14:paraId="22E520BE" w14:textId="77777777" w:rsidR="00AC78DF" w:rsidRPr="00DF0117" w:rsidRDefault="00AC78DF" w:rsidP="00024B70">
      <w:pPr>
        <w:spacing w:after="0" w:line="225" w:lineRule="atLeast"/>
      </w:pPr>
    </w:p>
    <w:p w14:paraId="0F831C57" w14:textId="220535FA" w:rsidR="00957F77" w:rsidRPr="00DF0117" w:rsidRDefault="00957F77" w:rsidP="00DF0117">
      <w:pPr>
        <w:pStyle w:val="Nadpis3"/>
      </w:pPr>
      <w:bookmarkStart w:id="31" w:name="_Toc500706005"/>
      <w:r w:rsidRPr="00DF0117">
        <w:t xml:space="preserve">3 </w:t>
      </w:r>
      <w:r w:rsidR="000550B0">
        <w:t>Analýza medzery</w:t>
      </w:r>
      <w:bookmarkEnd w:id="31"/>
    </w:p>
    <w:p w14:paraId="6675CF21" w14:textId="776EEBE3" w:rsidR="00730990" w:rsidRPr="00DF0117" w:rsidRDefault="00730990" w:rsidP="000A3B89">
      <w:r w:rsidRPr="00DF0117">
        <w:t>Ak sa pozrieme na prepojenie ekologickej a sociálnej udržateľnosti územia (sídla a krajin</w:t>
      </w:r>
      <w:r w:rsidR="000A3B89">
        <w:t>y</w:t>
      </w:r>
      <w:r w:rsidRPr="00DF0117">
        <w:t>) v</w:t>
      </w:r>
      <w:r w:rsidR="00523333">
        <w:t> </w:t>
      </w:r>
      <w:r w:rsidRPr="00DF0117">
        <w:t>kontexte</w:t>
      </w:r>
      <w:r w:rsidR="00523333">
        <w:t xml:space="preserve"> </w:t>
      </w:r>
      <w:r w:rsidR="007B656D">
        <w:t>zmeny</w:t>
      </w:r>
      <w:r w:rsidR="000A3B89">
        <w:t xml:space="preserve"> klímy</w:t>
      </w:r>
      <w:r w:rsidR="007B656D">
        <w:t xml:space="preserve">, </w:t>
      </w:r>
      <w:r w:rsidRPr="00DF0117">
        <w:t xml:space="preserve">najväčšou výzvou </w:t>
      </w:r>
      <w:r w:rsidR="000A3B89">
        <w:t>je</w:t>
      </w:r>
      <w:r w:rsidR="000A3B89" w:rsidRPr="00DF0117">
        <w:t xml:space="preserve"> </w:t>
      </w:r>
      <w:r w:rsidRPr="00DF0117">
        <w:t xml:space="preserve">pokračovanie </w:t>
      </w:r>
      <w:r w:rsidR="007B656D">
        <w:t>v pozitívnych trendoch a zmenách</w:t>
      </w:r>
      <w:r w:rsidRPr="00DF0117">
        <w:t xml:space="preserve"> </w:t>
      </w:r>
      <w:r w:rsidR="007B656D">
        <w:t>v sektore</w:t>
      </w:r>
      <w:r w:rsidRPr="00DF0117">
        <w:t xml:space="preserve"> energetiky, </w:t>
      </w:r>
      <w:r w:rsidR="007B656D">
        <w:t>ďalej</w:t>
      </w:r>
      <w:r w:rsidRPr="00DF0117">
        <w:t xml:space="preserve"> adaptačné opatrenia a</w:t>
      </w:r>
      <w:r w:rsidR="007B656D">
        <w:t> zlepšovanie kvality</w:t>
      </w:r>
      <w:r w:rsidRPr="00DF0117">
        <w:t xml:space="preserve"> ovzdušia. </w:t>
      </w:r>
    </w:p>
    <w:p w14:paraId="50980C17" w14:textId="274A8BBA" w:rsidR="00730990" w:rsidRPr="00DF0117" w:rsidRDefault="00730990" w:rsidP="00027B89">
      <w:r w:rsidRPr="00DF0117">
        <w:t xml:space="preserve">Aj keď sa v oblasti </w:t>
      </w:r>
      <w:r w:rsidR="00523333">
        <w:t>zmierňovania následkov</w:t>
      </w:r>
      <w:r w:rsidRPr="00DF0117">
        <w:t xml:space="preserve"> zatiaľ darí smerovať ku splneniu </w:t>
      </w:r>
      <w:r w:rsidR="000A3B89">
        <w:t>s</w:t>
      </w:r>
      <w:r w:rsidRPr="00DF0117">
        <w:t>lovenských cieľov</w:t>
      </w:r>
      <w:r w:rsidR="000A3B89">
        <w:t xml:space="preserve"> </w:t>
      </w:r>
      <w:r w:rsidR="00027B89">
        <w:t>s</w:t>
      </w:r>
      <w:r w:rsidR="000A3B89">
        <w:t>tratégie</w:t>
      </w:r>
      <w:r w:rsidRPr="00DF0117">
        <w:t xml:space="preserve"> Európa 2020</w:t>
      </w:r>
      <w:r w:rsidR="00AC1332">
        <w:t xml:space="preserve"> (Príloha 4, Graf 8, Tabuľka 5</w:t>
      </w:r>
      <w:r w:rsidR="00AC1332" w:rsidRPr="00DF0117">
        <w:t>)</w:t>
      </w:r>
      <w:r w:rsidRPr="00DF0117">
        <w:t>, diskutované ciele do roku 2030 si budú vyžadovať zvýšené úsilie. V októbri 2014 lídri EÚ schválili energeticko-klimatický rámec do roku 2030, v ktorom sú stanovené ciele minimálne 40 % zníženia emisií skleníkových plynov v porovnaní s úrovňou z roku 1990, dosiahnutia aspoň 27 % podielu obnoviteľných zdrojov na spotrebe energie a 27 % zvýšenia energetickej účinnosti.</w:t>
      </w:r>
    </w:p>
    <w:p w14:paraId="7414A5CB" w14:textId="5FD65F34" w:rsidR="00730990" w:rsidRPr="00DF0117" w:rsidRDefault="00730990" w:rsidP="00540E65">
      <w:r w:rsidRPr="00DF0117">
        <w:t>EÚ si ale stanovuje aj ďalšie dlhodobé ciele a do roku 2050 by sa mali zníži</w:t>
      </w:r>
      <w:r w:rsidR="000A3B89">
        <w:t>ť</w:t>
      </w:r>
      <w:r w:rsidRPr="00DF0117">
        <w:t xml:space="preserve"> emisie skleníkových plynov o 80 až 95</w:t>
      </w:r>
      <w:r w:rsidR="00523333">
        <w:t xml:space="preserve"> </w:t>
      </w:r>
      <w:r w:rsidRPr="00DF0117">
        <w:t xml:space="preserve">% v porovnaní s úrovňami v roku 1990. </w:t>
      </w:r>
      <w:r w:rsidR="00540E65">
        <w:t>S</w:t>
      </w:r>
      <w:r w:rsidRPr="00DF0117">
        <w:t>tabilné ekonomické prostredi</w:t>
      </w:r>
      <w:r w:rsidR="00540E65">
        <w:t>e</w:t>
      </w:r>
      <w:r w:rsidRPr="00DF0117">
        <w:t xml:space="preserve"> </w:t>
      </w:r>
      <w:r w:rsidR="00540E65">
        <w:t xml:space="preserve">umožňuje vytvorenie </w:t>
      </w:r>
      <w:r w:rsidRPr="00DF0117">
        <w:t>integrovan</w:t>
      </w:r>
      <w:r w:rsidR="00540E65">
        <w:t>ého</w:t>
      </w:r>
      <w:r w:rsidRPr="00DF0117">
        <w:t xml:space="preserve"> rámc</w:t>
      </w:r>
      <w:r w:rsidR="00540E65">
        <w:t>a</w:t>
      </w:r>
      <w:r w:rsidRPr="00DF0117">
        <w:t xml:space="preserve"> a jasn</w:t>
      </w:r>
      <w:r w:rsidR="00540E65">
        <w:t>ých</w:t>
      </w:r>
      <w:r w:rsidRPr="00DF0117">
        <w:t xml:space="preserve"> dlhodob</w:t>
      </w:r>
      <w:r w:rsidR="00540E65">
        <w:t>ých</w:t>
      </w:r>
      <w:r w:rsidRPr="00DF0117">
        <w:t xml:space="preserve"> prior</w:t>
      </w:r>
      <w:r w:rsidR="00540E65">
        <w:t>í</w:t>
      </w:r>
      <w:r w:rsidRPr="00DF0117">
        <w:t xml:space="preserve">t. Strategický </w:t>
      </w:r>
      <w:r w:rsidR="00540E65">
        <w:t xml:space="preserve">energeticko-klimatický </w:t>
      </w:r>
      <w:r w:rsidRPr="00DF0117">
        <w:t xml:space="preserve">rámec </w:t>
      </w:r>
      <w:r w:rsidR="00540E65">
        <w:t xml:space="preserve">SR do </w:t>
      </w:r>
      <w:r w:rsidRPr="00DF0117">
        <w:t>roku 2030 musí brať do úvahy uskutočniteľnosť (čo je možné technicky dosiahnuť), ale aj dlho</w:t>
      </w:r>
      <w:r w:rsidR="007B656D">
        <w:t>dobejšie ciele po tomto období a</w:t>
      </w:r>
      <w:r w:rsidR="00540E65">
        <w:t> to,</w:t>
      </w:r>
      <w:r w:rsidR="007B656D">
        <w:t xml:space="preserve"> aké trajektórie budúceho ekonomického vývoja </w:t>
      </w:r>
      <w:r w:rsidRPr="00DF0117">
        <w:t xml:space="preserve"> </w:t>
      </w:r>
      <w:r w:rsidR="007B656D">
        <w:t xml:space="preserve">nás budú približovať k dlhodobým cieľom a záväzkom. </w:t>
      </w:r>
    </w:p>
    <w:p w14:paraId="57295BF9" w14:textId="5995BA01" w:rsidR="00730990" w:rsidRPr="00DF0117" w:rsidRDefault="00730990" w:rsidP="00730990">
      <w:r w:rsidRPr="00DF0117">
        <w:t xml:space="preserve">Zatiaľ čo v oblasti </w:t>
      </w:r>
      <w:r w:rsidR="00523333">
        <w:t>zmierňovania</w:t>
      </w:r>
      <w:r w:rsidRPr="00DF0117">
        <w:t xml:space="preserve"> si vedie Slovensko v kontexte Európskej únie veľmi dobre, kľúčovou výzvou bude adaptácia. Podľa analýz implementácie opatrení, ktoré Slovensko realizuje v rámci implementácie Partnerskej dohody Slovenskej republiky na roky 2014 – 2020 sú </w:t>
      </w:r>
      <w:r w:rsidR="007B656D">
        <w:t>problémom</w:t>
      </w:r>
      <w:r w:rsidRPr="00DF0117">
        <w:t xml:space="preserve"> hlavne investície na prispôsobenie sa zmene klímy v oblastiach, ako sú </w:t>
      </w:r>
      <w:r w:rsidRPr="00DF0117">
        <w:lastRenderedPageBreak/>
        <w:t>poľnohospodárstvo, lesné hospodárstvo, vodné hospodárstvo, biodiverz</w:t>
      </w:r>
      <w:r w:rsidR="007B656D">
        <w:t>ita, doprava, sektor energetiky</w:t>
      </w:r>
      <w:r w:rsidRPr="00DF0117">
        <w:t xml:space="preserve"> a prírodné zdroje. </w:t>
      </w:r>
    </w:p>
    <w:p w14:paraId="2375A695" w14:textId="1F6D1ECE" w:rsidR="00730990" w:rsidRDefault="00730990" w:rsidP="00730990">
      <w:r w:rsidRPr="00DF0117">
        <w:t>Ďalej ide o riešenie osobitných rizík, zabezpečenie prevencie, pripravenosti a odolnosti proti mimoriadnym udalostiam, vyvíjanie systémov zvládania mimoriadnych udalostí, ako aj nástrojov na zvýšenie efektívnosti manažmentu rizík a zabezpečenie zníženia riz</w:t>
      </w:r>
      <w:r w:rsidR="00024B70">
        <w:t>ík súvisiacich so zmenou klímy.</w:t>
      </w:r>
    </w:p>
    <w:p w14:paraId="38437EAE" w14:textId="77777777" w:rsidR="00AC78DF" w:rsidRPr="00024B70" w:rsidRDefault="00AC78DF" w:rsidP="00730990"/>
    <w:p w14:paraId="256A8167" w14:textId="47D6DBE3" w:rsidR="00957F77" w:rsidRDefault="00957F77" w:rsidP="00715F57">
      <w:pPr>
        <w:pStyle w:val="Nadpis3"/>
      </w:pPr>
      <w:bookmarkStart w:id="32" w:name="_Toc500706006"/>
      <w:r>
        <w:t xml:space="preserve">4 </w:t>
      </w:r>
      <w:r w:rsidRPr="000166D1">
        <w:t xml:space="preserve">Stručný prehľad existujúcich </w:t>
      </w:r>
      <w:r w:rsidR="00730990">
        <w:t>dlhodobých stratégií</w:t>
      </w:r>
      <w:r w:rsidRPr="000166D1">
        <w:t xml:space="preserve"> SR </w:t>
      </w:r>
      <w:r>
        <w:t>v danej téme</w:t>
      </w:r>
      <w:bookmarkEnd w:id="32"/>
    </w:p>
    <w:p w14:paraId="7E0EB8F1" w14:textId="77777777" w:rsidR="00730990" w:rsidRPr="00DF0117" w:rsidRDefault="00730990" w:rsidP="00730990">
      <w:r w:rsidRPr="00DF0117">
        <w:t xml:space="preserve">Hlavnými strategickými dokumentami pre oblasť zmeny klímy budú plánovaná nízko-uhlíková stratégia Slovenska do roku 2050 (v procese prípravy) a pripravovaná environmentálna politika do roku 2030. Tá by mala nadväzovať na celý súbor strategických dokumentov pre OZE a úspory energie, strategické plány pre regionálny rozvoj, či plány pre rozvoj vidieka a poľnohospodárstva. </w:t>
      </w:r>
    </w:p>
    <w:p w14:paraId="15D9FEBF" w14:textId="1B203C79" w:rsidR="00730990" w:rsidRPr="00DF0117" w:rsidRDefault="00730990" w:rsidP="00730990">
      <w:r w:rsidRPr="00DF0117">
        <w:t xml:space="preserve">Ministerstvo hospodárstva SR pripravilo strategické dokumenty ako sú </w:t>
      </w:r>
      <w:r w:rsidRPr="00027B89">
        <w:t>Energetická politika</w:t>
      </w:r>
      <w:r w:rsidR="00027B89">
        <w:t xml:space="preserve"> SR</w:t>
      </w:r>
      <w:r w:rsidRPr="00DF0117">
        <w:t xml:space="preserve"> z roku 2014, Stratégia pre vyššie využitie OZE, Národný akčný plán pre obnoviteľné zdroje energie, Koncepcia energetickej efektívnosti Slovenskej republiky, či Akčný plán energetickej efektívnosti na roky 2014-2016 s výhľadom do roku 2020.   </w:t>
      </w:r>
    </w:p>
    <w:p w14:paraId="670EAF57" w14:textId="7D057B2A" w:rsidR="00730990" w:rsidRPr="00DF0117" w:rsidRDefault="00730990" w:rsidP="00E6350E">
      <w:pPr>
        <w:rPr>
          <w:bCs w:val="0"/>
          <w:color w:val="auto"/>
        </w:rPr>
      </w:pPr>
      <w:r w:rsidRPr="00DF0117">
        <w:t>Dôležitou oblasťou</w:t>
      </w:r>
      <w:r w:rsidR="002C563D">
        <w:t xml:space="preserve"> v rámci tejto</w:t>
      </w:r>
      <w:r w:rsidRPr="00DF0117">
        <w:t xml:space="preserve"> témy je rozvoj najmenej rozvinutých regiónov. Zákon č. 336 z 11. novembra 2015 o podpore najmenej rozvinutých okresov a o zmene a doplnení niektorých zákonov poskytuje rámec pre prípravu </w:t>
      </w:r>
      <w:r w:rsidRPr="00DF0117">
        <w:rPr>
          <w:bCs w:val="0"/>
          <w:color w:val="0A0A0A"/>
          <w:shd w:val="clear" w:color="auto" w:fill="FEFEFE"/>
        </w:rPr>
        <w:t>akčných plánov zameraných na odstraňovanie sociálno-ekonomického zaostávania a znižovanie vysokej miery nezamestnanosti najmenej rozvinut</w:t>
      </w:r>
      <w:r w:rsidR="002C563D">
        <w:rPr>
          <w:bCs w:val="0"/>
          <w:color w:val="0A0A0A"/>
          <w:shd w:val="clear" w:color="auto" w:fill="FEFEFE"/>
        </w:rPr>
        <w:t>ých</w:t>
      </w:r>
      <w:r w:rsidRPr="00DF0117">
        <w:rPr>
          <w:bCs w:val="0"/>
          <w:color w:val="0A0A0A"/>
          <w:shd w:val="clear" w:color="auto" w:fill="FEFEFE"/>
        </w:rPr>
        <w:t xml:space="preserve"> okres</w:t>
      </w:r>
      <w:r w:rsidR="002C563D">
        <w:rPr>
          <w:bCs w:val="0"/>
          <w:color w:val="0A0A0A"/>
          <w:shd w:val="clear" w:color="auto" w:fill="FEFEFE"/>
        </w:rPr>
        <w:t>ov</w:t>
      </w:r>
      <w:r w:rsidRPr="00DF0117">
        <w:rPr>
          <w:bCs w:val="0"/>
          <w:color w:val="0A0A0A"/>
          <w:shd w:val="clear" w:color="auto" w:fill="FEFEFE"/>
        </w:rPr>
        <w:t xml:space="preserve">. </w:t>
      </w:r>
    </w:p>
    <w:p w14:paraId="39698129" w14:textId="024DEB83" w:rsidR="00730990" w:rsidRPr="00DF0117" w:rsidRDefault="00730990" w:rsidP="00027B89">
      <w:r w:rsidRPr="00DF0117">
        <w:t xml:space="preserve">Hlavným strategickým dokumentom pre efektívne využívanie zdrojov je  </w:t>
      </w:r>
      <w:r w:rsidR="002C563D">
        <w:t>e</w:t>
      </w:r>
      <w:r w:rsidRPr="00DF0117">
        <w:t>urópsk</w:t>
      </w:r>
      <w:r w:rsidR="00027B89">
        <w:t>a</w:t>
      </w:r>
      <w:r w:rsidRPr="00DF0117">
        <w:t xml:space="preserve"> </w:t>
      </w:r>
      <w:r w:rsidR="002C563D">
        <w:t>C</w:t>
      </w:r>
      <w:r w:rsidRPr="00DF0117">
        <w:t>estovn</w:t>
      </w:r>
      <w:r w:rsidR="00027B89">
        <w:t>á</w:t>
      </w:r>
      <w:r w:rsidRPr="00DF0117">
        <w:t xml:space="preserve"> map</w:t>
      </w:r>
      <w:r w:rsidR="00027B89">
        <w:t>a</w:t>
      </w:r>
      <w:r w:rsidRPr="00DF0117">
        <w:t xml:space="preserve"> pre Európu efektívne využívajúcu zdroje (</w:t>
      </w:r>
      <w:r w:rsidRPr="00DF0117">
        <w:rPr>
          <w:i/>
        </w:rPr>
        <w:t>The Roadmap to a Resource Efficient Europe</w:t>
      </w:r>
      <w:r w:rsidRPr="00DF0117">
        <w:t xml:space="preserve">). </w:t>
      </w:r>
      <w:r w:rsidRPr="007160B3">
        <w:t xml:space="preserve">V gescii Ministerstva hospodárstva SR </w:t>
      </w:r>
      <w:r w:rsidR="00027B89" w:rsidRPr="00E6350E">
        <w:t>je najvýznamnejším materiálom v tejto oblasti</w:t>
      </w:r>
      <w:r w:rsidRPr="007160B3">
        <w:t xml:space="preserve"> Aktualizáci</w:t>
      </w:r>
      <w:r w:rsidR="00027B89" w:rsidRPr="00E6350E">
        <w:t>a</w:t>
      </w:r>
      <w:r w:rsidRPr="007160B3">
        <w:t xml:space="preserve"> surovinovej politiky Slovenskej republiky pre oblasť̌ nerastných surovín.</w:t>
      </w:r>
      <w:r w:rsidRPr="00DF0117">
        <w:t xml:space="preserve"> </w:t>
      </w:r>
    </w:p>
    <w:p w14:paraId="4EC3A658" w14:textId="1781E167" w:rsidR="00957F77" w:rsidRPr="00DF0117" w:rsidRDefault="00730990" w:rsidP="002C563D">
      <w:r w:rsidRPr="00DF0117">
        <w:t xml:space="preserve">V kontexte adaptácie na zmenu </w:t>
      </w:r>
      <w:r w:rsidR="002C563D">
        <w:t xml:space="preserve">klímy </w:t>
      </w:r>
      <w:r w:rsidRPr="00DF0117">
        <w:t xml:space="preserve">sú dôležité dva dokumenty. Prvým je </w:t>
      </w:r>
      <w:r w:rsidRPr="00DF0117">
        <w:rPr>
          <w:i/>
        </w:rPr>
        <w:t>Stratégia adaptácie SR na nepriaznivé dôsledky zmeny klímy</w:t>
      </w:r>
      <w:r w:rsidRPr="00DF0117">
        <w:t>, pripravená M</w:t>
      </w:r>
      <w:r w:rsidR="002C563D">
        <w:t>inisterstvom životného prostredia</w:t>
      </w:r>
      <w:r w:rsidRPr="00DF0117">
        <w:t xml:space="preserve"> SR v roku 2013 a aktualizovaná v roku 2017 (v procese schvaľovania). Druhým je </w:t>
      </w:r>
      <w:r w:rsidRPr="00DF0117">
        <w:rPr>
          <w:i/>
        </w:rPr>
        <w:t>Národná stratégia manažmentu bezpečnostných rizík Slovenskej republiky,</w:t>
      </w:r>
      <w:r w:rsidRPr="00DF0117">
        <w:t xml:space="preserve"> pripravená v roku 2015 Ministerstvom vnútra SR. </w:t>
      </w:r>
    </w:p>
    <w:p w14:paraId="1E864766" w14:textId="77777777" w:rsidR="007564DC" w:rsidRDefault="007564DC">
      <w:pPr>
        <w:spacing w:after="0"/>
        <w:jc w:val="left"/>
        <w:rPr>
          <w:rFonts w:eastAsiaTheme="majorEastAsia"/>
          <w:b/>
          <w:bCs w:val="0"/>
          <w:color w:val="auto"/>
          <w:sz w:val="28"/>
          <w:szCs w:val="28"/>
        </w:rPr>
      </w:pPr>
      <w:r>
        <w:br w:type="page"/>
      </w:r>
    </w:p>
    <w:p w14:paraId="3C447B36" w14:textId="2FE840B2" w:rsidR="006A5192" w:rsidRPr="00987043" w:rsidRDefault="006A5192" w:rsidP="009B246F">
      <w:pPr>
        <w:pStyle w:val="Nadpis2"/>
      </w:pPr>
      <w:bookmarkStart w:id="33" w:name="_Toc500706007"/>
      <w:r w:rsidRPr="00987043">
        <w:lastRenderedPageBreak/>
        <w:t xml:space="preserve">Téma 5: </w:t>
      </w:r>
      <w:r w:rsidR="002C25D6" w:rsidRPr="002C25D6">
        <w:t>Eliminácia chudoby a sociálna inklúzia</w:t>
      </w:r>
      <w:bookmarkEnd w:id="33"/>
    </w:p>
    <w:p w14:paraId="060522B4" w14:textId="0AA755F1" w:rsidR="006A5192" w:rsidRDefault="00CE5DF5" w:rsidP="00987043">
      <w:pPr>
        <w:jc w:val="center"/>
      </w:pPr>
      <w:r>
        <w:rPr>
          <w:noProof/>
          <w:lang w:val="cs-CZ" w:eastAsia="cs-CZ"/>
        </w:rPr>
        <w:drawing>
          <wp:inline distT="0" distB="0" distL="0" distR="0" wp14:anchorId="37420AF6" wp14:editId="517E108E">
            <wp:extent cx="1260000" cy="1260000"/>
            <wp:effectExtent l="0" t="0" r="0" b="0"/>
            <wp:docPr id="13" name="Obrázok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60000" cy="1260000"/>
                    </a:xfrm>
                    <a:prstGeom prst="rect">
                      <a:avLst/>
                    </a:prstGeom>
                    <a:noFill/>
                    <a:ln>
                      <a:noFill/>
                    </a:ln>
                  </pic:spPr>
                </pic:pic>
              </a:graphicData>
            </a:graphic>
          </wp:inline>
        </w:drawing>
      </w:r>
      <w:r w:rsidR="00C931FB">
        <w:rPr>
          <w:noProof/>
          <w:lang w:eastAsia="sk-SK"/>
        </w:rPr>
        <w:t xml:space="preserve"> </w:t>
      </w:r>
      <w:r w:rsidRPr="003119F7">
        <w:rPr>
          <w:noProof/>
          <w:lang w:val="cs-CZ" w:eastAsia="cs-CZ"/>
        </w:rPr>
        <w:drawing>
          <wp:inline distT="0" distB="0" distL="0" distR="0" wp14:anchorId="650E77E9" wp14:editId="6C4E01E8">
            <wp:extent cx="1285200" cy="1260000"/>
            <wp:effectExtent l="0" t="0" r="0" b="0"/>
            <wp:docPr id="15" name="Obrázok 15" descr="C:\Users\Vlado\Documents\SDG 10 zníženie nerovností.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lado\Documents\SDG 10 zníženie nerovností.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200" cy="1260000"/>
                    </a:xfrm>
                    <a:prstGeom prst="rect">
                      <a:avLst/>
                    </a:prstGeom>
                    <a:noFill/>
                    <a:ln>
                      <a:noFill/>
                    </a:ln>
                  </pic:spPr>
                </pic:pic>
              </a:graphicData>
            </a:graphic>
          </wp:inline>
        </w:drawing>
      </w:r>
      <w:r w:rsidR="00C931FB">
        <w:rPr>
          <w:noProof/>
          <w:lang w:eastAsia="sk-SK"/>
        </w:rPr>
        <w:t xml:space="preserve"> </w:t>
      </w:r>
    </w:p>
    <w:p w14:paraId="30F148D2" w14:textId="701A948D" w:rsidR="00CE5DF5" w:rsidRDefault="00CE5DF5" w:rsidP="004635B8"/>
    <w:p w14:paraId="44284391" w14:textId="77777777" w:rsidR="00957F77" w:rsidRPr="004635B8" w:rsidRDefault="00957F77" w:rsidP="00715F57">
      <w:pPr>
        <w:pStyle w:val="Nadpis3"/>
      </w:pPr>
      <w:bookmarkStart w:id="34" w:name="_Toc500706008"/>
      <w:r w:rsidRPr="004635B8">
        <w:t>1 Globálne megatrendy</w:t>
      </w:r>
      <w:bookmarkEnd w:id="34"/>
    </w:p>
    <w:p w14:paraId="3405162C" w14:textId="09D26038" w:rsidR="007F79D3" w:rsidRDefault="00F24ACA" w:rsidP="007F79D3">
      <w:r>
        <w:t>Faktorom, ktorý výrazne ovplyvňuje sociálne nerovnosti a chudobu je nerovnomerné rozdelenie svetového bohatstva. Podľa štúdie Global</w:t>
      </w:r>
      <w:r w:rsidR="00193915">
        <w:t xml:space="preserve"> </w:t>
      </w:r>
      <w:r>
        <w:t>Wealth Report jedno percento najbohatších ľudí na svete vlastní 48,2 % celkových aktív, zatiaľ čo z hľadiska majetku spodná polovina svetovej populácie vlastní menej ako 1 % bohatstva. Tento pomer sa každoročne zvyšuje v prospech bohatých. Analýzy tiež preukázali, že v roku 2015 až 15</w:t>
      </w:r>
      <w:r w:rsidR="00523333">
        <w:t xml:space="preserve"> </w:t>
      </w:r>
      <w:r>
        <w:t xml:space="preserve">% svetovej populácie žilo z menej ako 2 dolárov na deň a 56 % medzi $ 2 až $ 10. </w:t>
      </w:r>
    </w:p>
    <w:p w14:paraId="672D4B5D" w14:textId="45D3C305" w:rsidR="00F24ACA" w:rsidRDefault="007F79D3" w:rsidP="007F79D3">
      <w:r>
        <w:t>Zároveň však medzi rokmi 2001 a 2015 klesol p</w:t>
      </w:r>
      <w:r w:rsidR="00F24ACA">
        <w:t xml:space="preserve">odiel ľudí na svete, ktorí žili v extrémnej chudobe na polovicu a počet ľudí v strednej triede sa zdvojnásobil. </w:t>
      </w:r>
      <w:r>
        <w:t> To znamená aj zvýšené nároky na</w:t>
      </w:r>
      <w:r w:rsidR="00F24ACA">
        <w:t xml:space="preserve"> spotreb</w:t>
      </w:r>
      <w:r>
        <w:t>u</w:t>
      </w:r>
      <w:r w:rsidR="00F24ACA">
        <w:t xml:space="preserve"> surovín a </w:t>
      </w:r>
      <w:r>
        <w:t>spracovanie</w:t>
      </w:r>
      <w:r w:rsidR="00F24ACA">
        <w:t xml:space="preserve"> odpadu. Krajiny, ktoré uprednostňujú ekonomický rast pred sociáln</w:t>
      </w:r>
      <w:r>
        <w:t>ym zabezpečením</w:t>
      </w:r>
      <w:r w:rsidR="00F24ACA">
        <w:t xml:space="preserve"> a </w:t>
      </w:r>
      <w:r>
        <w:t xml:space="preserve">ochranou </w:t>
      </w:r>
      <w:r w:rsidR="00F24ACA">
        <w:t>životn</w:t>
      </w:r>
      <w:r>
        <w:t>ého</w:t>
      </w:r>
      <w:r w:rsidR="00F24ACA">
        <w:t xml:space="preserve"> prostred</w:t>
      </w:r>
      <w:r>
        <w:t>ia</w:t>
      </w:r>
      <w:r w:rsidR="00F24ACA">
        <w:t>, sa žiaľ dostávajú do konkurenčnej výhody oproti krajinám, ktoré majú snahu investovať do sociálnych programov a ochrany životného pro</w:t>
      </w:r>
      <w:r w:rsidR="00E24F2E">
        <w:t>stredia.</w:t>
      </w:r>
    </w:p>
    <w:p w14:paraId="4FB11762" w14:textId="4987563B" w:rsidR="00F24ACA" w:rsidRDefault="00F24ACA" w:rsidP="007F79D3">
      <w:r>
        <w:t>Rýchly ekonomický rast v rozvíjajúcej sa časti sveta je v protiklade k oveľa miernejšej dynamike v krajinách Eurozóny alebo OECD.</w:t>
      </w:r>
      <w:r w:rsidR="007F79D3">
        <w:t xml:space="preserve"> Zároveň je</w:t>
      </w:r>
      <w:r>
        <w:t xml:space="preserve"> </w:t>
      </w:r>
      <w:r w:rsidR="007F79D3">
        <w:t>v</w:t>
      </w:r>
      <w:r>
        <w:t xml:space="preserve"> rámci OECD potvrdený rast príjmových nerovností, ktoré dosahujú najvyššiu mieru za posledných 30 rokov. Príjmové nerovnosti sú považované za faktor brzdiaci rozvoj spoločnosti ale aj ekonomický rast. Za hlavný prenosový mechanizmus týchto bariér sa označujú nedostatočné investície do ľudského kapitálu, v dôsledku čoho nízkopríjmové skupiny majú sťažený prístup ku kvalitnému vzdelaniu, čo znamená zníženú sociálnu mobilitu (OECD, 2015). </w:t>
      </w:r>
      <w:r w:rsidR="007F79D3">
        <w:t xml:space="preserve">Najvýznamnejším </w:t>
      </w:r>
      <w:r>
        <w:t>predpoklad</w:t>
      </w:r>
      <w:r w:rsidR="007F79D3">
        <w:t>om</w:t>
      </w:r>
      <w:r>
        <w:t xml:space="preserve"> pre vykorenenie chudoby a umožnenie začlenenia každého jednotlivca, podľa jeho potrieb, do spoločnosti</w:t>
      </w:r>
      <w:r w:rsidR="007F79D3">
        <w:t xml:space="preserve"> je pritom ekonomický rast sprevádzaný spravodlivou distribúciou bohatstva.</w:t>
      </w:r>
    </w:p>
    <w:p w14:paraId="57DAFA52" w14:textId="77777777" w:rsidR="00F24ACA" w:rsidRDefault="00F24ACA" w:rsidP="00F24ACA">
      <w:r>
        <w:t>Odhaduje sa, že približne tretina populácie Zeme nemá prístup k dostatočnému množstvu pitnej vody, čo nesie so sebou existenčné a zdravotné riziká. Zdroje vody sú však rozdelené veľmi nerovnomerne, čo spôsobuje napätosť v dostupnosti zdrojov vody. Dezertifikácia, degradácia pôdy a sucho ovplyvňujú viac ako 1,5 miliardy ľudí vo viac ako 110 krajinách, z ktorých 90 % žije v oblastiach s nízkymi príjmami. Degradácia pôdy, chudoba a migrácia sa navzájom posilňujú, avšak tieto spojené problémy sa často do značnej miery ignorujú, pretože kauzalita u týchto fenoménov nie je zrejmá.</w:t>
      </w:r>
    </w:p>
    <w:p w14:paraId="57B4F6E7" w14:textId="6803F03F" w:rsidR="00957F77" w:rsidRDefault="00F24ACA" w:rsidP="007F79D3">
      <w:r>
        <w:t>Dlhodobé smerovanie vývoja Slovenska v oblasti sociálneho vylúčenia, chudoby</w:t>
      </w:r>
      <w:r w:rsidR="007F79D3">
        <w:t xml:space="preserve"> a</w:t>
      </w:r>
      <w:r>
        <w:t xml:space="preserve"> nerovností je vďaka vysokej otvorenosti ekonomiky a zapojeniu do globalizačných a integračných procesov závislé od celosvetových aj európskych trendov. Napriek tomu má i svoje špecifické odlišnosti.</w:t>
      </w:r>
    </w:p>
    <w:p w14:paraId="5470E4F7" w14:textId="77777777" w:rsidR="00957F77" w:rsidRPr="00555D1B" w:rsidRDefault="00957F77" w:rsidP="00715F57">
      <w:pPr>
        <w:pStyle w:val="Nadpis3"/>
        <w:rPr>
          <w:bCs/>
        </w:rPr>
      </w:pPr>
      <w:bookmarkStart w:id="35" w:name="_Toc500706009"/>
      <w:r>
        <w:lastRenderedPageBreak/>
        <w:t>2 Pozícia Slovenska</w:t>
      </w:r>
      <w:bookmarkEnd w:id="35"/>
    </w:p>
    <w:p w14:paraId="530B0790" w14:textId="7E0A1A5F" w:rsidR="007F79D3" w:rsidRDefault="00F24ACA" w:rsidP="007F79D3">
      <w:r>
        <w:t>Chudoba a sociálne vylúčenie patria na Slovensku k spoločenským problémom, ktoré si zasluhujú permanentnú pozornosť. Je to</w:t>
      </w:r>
      <w:r w:rsidR="007F79D3">
        <w:t>mu</w:t>
      </w:r>
      <w:r>
        <w:t xml:space="preserve"> tak aj preto, že viaceré znevýhodnené skupiny obyvateľov čelia vážnym sociálnym rizikám a kumulácii rôznych znevýhodnení a u týchto skupín existuje pravdepodobnosť, že riziká sa budú prenášať z generácie na generáciu. Aj keď Slovensko patrí k členským krajinám EÚ, ktoré sa z hľadiska miery chudoby a sociálneho vylúčenia pohybujú dlhodobo pod celoeurópskym priemerom, je potrebné </w:t>
      </w:r>
      <w:r w:rsidR="007F79D3">
        <w:t xml:space="preserve">vnímať ako </w:t>
      </w:r>
      <w:r>
        <w:t>priorit</w:t>
      </w:r>
      <w:r w:rsidR="007F79D3">
        <w:t>u</w:t>
      </w:r>
      <w:r>
        <w:t xml:space="preserve"> cieľ zníž</w:t>
      </w:r>
      <w:r w:rsidR="007F79D3">
        <w:t>iť</w:t>
      </w:r>
      <w:r>
        <w:t xml:space="preserve"> poč</w:t>
      </w:r>
      <w:r w:rsidR="007F79D3">
        <w:t>e</w:t>
      </w:r>
      <w:r>
        <w:t>t osôb v riziku chudoby a sociálneho vylúčenia aspoň o 170</w:t>
      </w:r>
      <w:r w:rsidR="007F79D3">
        <w:t xml:space="preserve"> tisíc</w:t>
      </w:r>
      <w:r>
        <w:t xml:space="preserve">, ku ktorému sa Slovensko zaviazalo v rámci stratégie Európa 2020. </w:t>
      </w:r>
    </w:p>
    <w:p w14:paraId="5763164E" w14:textId="692DF5DA" w:rsidR="00F24ACA" w:rsidRDefault="00F24ACA" w:rsidP="007F79D3">
      <w:r>
        <w:t>Z pohľadu príjmovej chudoby patrí SR ku krajinám s najnižšou mierou rizika chudoby v rámci EÚ. Na Slovensku z hľadiska vývoja v čase podiel obyvateľov ohrozených chudobou alebo sociálnym vylúčením od roku 2005 do roku 2009 klesal (z 32,0 % na 19,6 %). Vplyvom hospodárskej krízy došlo k miernemu zvýšeniu (na 20,6 % v roku 2010 a 2011), ale od roku 2012 sa podiel ľudí ohrozených chudobou alebo sociálnym vylúčením opäť postupne znižoval až na hodnotu 18,4 % obyvateľov v roku 2014. Z hľadiska veku a typu domácnosti boli rizikom chudoby najviac ohrozené deti vo veku 0-17 rokov, domácnosti s vyšším počtom detí (3 a viac) a neúplné domácnosti.</w:t>
      </w:r>
    </w:p>
    <w:p w14:paraId="233DA488" w14:textId="77777777" w:rsidR="007F79D3" w:rsidRDefault="00F24ACA" w:rsidP="00F24ACA">
      <w:r>
        <w:t xml:space="preserve">Pálčivým problémom na Slovensku je chudoba a sociálne vylúčenie marginalizovaných rómskych komunít (MRK). Podľa Atlasu rómskych komunít (2013) bolo v 584 obciach identifikovaných 804 koncentrácií, v ktorých je možné životné podmienky označiť za nedôstojné a neprimerané. Obyvatelia týchto komunít, ktorých počet sa v súčasnosti odhaduje na približne 200 000, trpia materiálnym nedostatkom a sociálnou depriváciou a celkovo výrazne zníženými životnými príležitosťami. Geografická poloha rómskych osídlení a obmedzené sociálne kontakty sú reálnou bariérou, ktorá sťažuje ich plnohodnotnú participáciu na ekonomicko-kultúrnom živote v spoločnosti. </w:t>
      </w:r>
    </w:p>
    <w:p w14:paraId="0F5B918B" w14:textId="0EDDC44F" w:rsidR="00F24ACA" w:rsidRDefault="00F24ACA" w:rsidP="00F24ACA">
      <w:r>
        <w:t>Jednou z oblastí kde sa najvýraznejšie prejavuje marginalizácia rómskej populácie je aj vzdelávanie. Problémom je nízka zaškolenosť detí zo sociálne znevýhodneného prostredia v MŠ, a to z dôvodu absencie legislatívnej podpory, nedostatku kapacít, finančnej náročnosti a nízkej informovanosti o prínose vzdelávania v MŠ. Žiaci zo sociálne znevýhodneného prostredia často ukončujú ZŠ v nižšom ako deviatom ročníku, čo prehlbuje rozdiely v dosiahnutej vzdelanostnej úrovni a kvalifikácii oproti majoritnej populácii. Komplexnosť problému dotvára nadproporčné zastúpenie rómskych detí v špeciálnych ZŠ a v špeciálnych triedach na bežných ZŠ. Jednou z príčin umiestňovania do špeciálnych tried, alebo špeciálnych škôl, je aj nedostatočná diagnostika pri zápise, nedostatočné ovládanie štátneho jazyka zo strany detí, ale aj nepoužívanie rómskeho jazyka pri testovaní, alebo iných odborných činnostiach v rámci diagnostiky.</w:t>
      </w:r>
    </w:p>
    <w:p w14:paraId="46EB47DB" w14:textId="77777777" w:rsidR="00F24ACA" w:rsidRDefault="00F24ACA" w:rsidP="00F24ACA">
      <w:r>
        <w:t>Vylúčenie Rómov z formálneho trhu práce je okrem nedostatočnej konkurencieschopnosti na trhu práce (z dôvodu nízkej vzdelanostnej a kvalifikačnej úrovne a zručností) zapríčinené aj ďalšími faktormi, a to: prítomnosťou diskriminácie voči rómskemu etniku zo strany majority (stereotyp nespoľahlivých pracovníkov, bez pracovnej morálky, disciplíny a motivácie); priestorovou lokalizáciou sídiel (koncentrácia Rómov v regiónoch s najnižšou pracovnou aktivitou); veľmi nízkym štandardom bývania a zlým zdravotným stavom.</w:t>
      </w:r>
    </w:p>
    <w:p w14:paraId="0A0CCAE6" w14:textId="4B30658A" w:rsidR="00957F77" w:rsidRDefault="00F24ACA" w:rsidP="00F24ACA">
      <w:r>
        <w:t>Ohrozenie sociálnym vylúčením sa týka aj osôb, ktorým sú poskytované sociálne služby alebo náhradná starostlivosť, hlavne detí, ktoré sú umiestnené v inštitucionálnych zariadeniach. V podmienkach SR výrazne prevláda tradičný inštitucionálny model pričom deinštitucionalizácia veľkokapacitných zariadení a služieb prebieha pomaly a komunitné služby v tejto oblasti sú nedostatočne rozvinuté.</w:t>
      </w:r>
    </w:p>
    <w:p w14:paraId="27D09400" w14:textId="325668B8" w:rsidR="00957F77" w:rsidRPr="000166D1" w:rsidRDefault="00957F77" w:rsidP="00715F57">
      <w:pPr>
        <w:pStyle w:val="Nadpis3"/>
        <w:rPr>
          <w:bCs/>
        </w:rPr>
      </w:pPr>
      <w:bookmarkStart w:id="36" w:name="_Toc500706010"/>
      <w:r>
        <w:lastRenderedPageBreak/>
        <w:t xml:space="preserve">3 </w:t>
      </w:r>
      <w:r w:rsidR="000550B0">
        <w:t>Analýza medzery</w:t>
      </w:r>
      <w:bookmarkEnd w:id="36"/>
    </w:p>
    <w:p w14:paraId="0D001F96" w14:textId="214180A2" w:rsidR="00F24ACA" w:rsidRDefault="00F24ACA" w:rsidP="007F79D3">
      <w:r>
        <w:t xml:space="preserve">Údaje v oblasti boja proti chudobe a sociálnemu vylúčeniu naznačujú, že Slovenská republika sa v oblasti sociálneho začlenenia </w:t>
      </w:r>
      <w:r w:rsidR="007F79D3">
        <w:t>a</w:t>
      </w:r>
      <w:r>
        <w:t xml:space="preserve"> boja proti chudobe </w:t>
      </w:r>
      <w:r w:rsidR="007F79D3">
        <w:t xml:space="preserve">vyvíja </w:t>
      </w:r>
      <w:r>
        <w:t>ako celok pozitívne</w:t>
      </w:r>
      <w:r w:rsidR="00B4138F">
        <w:t xml:space="preserve"> (Príloha 5, Grafy 13 a 14, Tabuľka 6)</w:t>
      </w:r>
      <w:r>
        <w:t>. Keď sa pozrieme podrobnejšie na kompozíciu ukazovateľa miery rizika chudoby alebo sociálneho vylúčenia, vidíme, že v jednotlivých ukazovateľoch tvoriacich index došlo po roku 2013 k medziročnému poklesu vo všetkých komponentoch. Medzi rokmi 2013 a 2014 miera rizika chudoby klesla o 0,2 percentuálneho bodu, miera závažnej materiálnej deprivácie klesla o 0,3 percentuálneho bodu a veľmi nízka intenzita práce klesla o 0,5 percentuálneho bodu. Na základe štatistického zisťovania o príjmoch a životných podmienkach domácností 2015 bola miera rizika chudoby v Slovenskej republiky na úrovni 12,3 % čo je pod priemerom EÚ 27 (17,3 %) pričom najvyššia miera rizika chudoby bola zaznamenaná v Banskobystrickom a Prešovskom kraji (16,4 %). Pri porovnávaní jednotlivých krajín EÚ patrí Slovenská republika medzi krajiny s najnižšou mierou rizika chudoby, na ktorú má vplyv nízka nerovnosť príjmov.</w:t>
      </w:r>
      <w:r w:rsidR="007F79D3">
        <w:t xml:space="preserve"> Pre udržanie súčasného pozitívneho trendu je nutné</w:t>
      </w:r>
      <w:r w:rsidR="007F79D3" w:rsidRPr="007F79D3">
        <w:t xml:space="preserve"> </w:t>
      </w:r>
      <w:r w:rsidR="007F79D3">
        <w:t>aspoň čiastočne prekonať štrukturálne prekážky, ktoré udržujú časť populácie Slovenska v permanentnej chudobe a sociálnom vylúčení.</w:t>
      </w:r>
    </w:p>
    <w:p w14:paraId="58C87B28" w14:textId="7BA94FD4" w:rsidR="00F24ACA" w:rsidRDefault="00F24ACA" w:rsidP="007F79D3">
      <w:r>
        <w:t>V znevýhodnených regiónoch, odľahlých vidieckych oblastiach a v najmenších vidieckych sídlach dochádza ku koncentrácii znevýhodnení</w:t>
      </w:r>
      <w:r w:rsidR="007F79D3">
        <w:t>,</w:t>
      </w:r>
      <w:r>
        <w:t xml:space="preserve"> rizik</w:t>
      </w:r>
      <w:r w:rsidR="007F79D3">
        <w:t>a</w:t>
      </w:r>
      <w:r>
        <w:t xml:space="preserve"> reprodukcie sociálneho vylúčenia </w:t>
      </w:r>
      <w:r w:rsidR="007F79D3">
        <w:t>a</w:t>
      </w:r>
      <w:r>
        <w:t xml:space="preserve"> mäkk</w:t>
      </w:r>
      <w:r w:rsidR="007F79D3">
        <w:t>ých</w:t>
      </w:r>
      <w:r>
        <w:t xml:space="preserve"> for</w:t>
      </w:r>
      <w:r w:rsidR="007F79D3">
        <w:t>ie</w:t>
      </w:r>
      <w:r>
        <w:t>m vylúčenia (nízka občianska vybavenosť, nedostatočná dostupnosť zdravotníckej starostlivosti, nízka sociálna infraštruktúra, atď.). Za hlavné prekážky rozvoja vidieka sú považované: negatívny demografický trend a úbytok mladých ľudí v produktívnom veku, monosektorálna ekonomika, slabá alebo nedostatočná infraštruktúra</w:t>
      </w:r>
      <w:r w:rsidR="007F79D3">
        <w:t>,</w:t>
      </w:r>
      <w:r>
        <w:t xml:space="preserve"> zlá dostupnosť </w:t>
      </w:r>
      <w:r w:rsidR="007F79D3">
        <w:t>pripojenia</w:t>
      </w:r>
      <w:r>
        <w:t xml:space="preserve"> k širokopásmovému internetu, nízka úroveň vzdelanosti,</w:t>
      </w:r>
      <w:r w:rsidR="007F79D3">
        <w:t xml:space="preserve"> nedostatočné</w:t>
      </w:r>
      <w:r>
        <w:t xml:space="preserve"> zručnosti, podnikavos</w:t>
      </w:r>
      <w:r w:rsidR="007F79D3">
        <w:t>ť</w:t>
      </w:r>
      <w:r>
        <w:t xml:space="preserve"> a inovácie,</w:t>
      </w:r>
      <w:r w:rsidR="007F79D3">
        <w:t xml:space="preserve"> ako aj</w:t>
      </w:r>
      <w:r>
        <w:t xml:space="preserve"> nerozvinutý sociálny a inštitucionálny kapitál. V kontexte rurálnych oblastí je potrebné k prekážkam priradiť aj vysokú nezamestnanosť, nízke reálne príjmy</w:t>
      </w:r>
      <w:r w:rsidR="007F79D3">
        <w:t xml:space="preserve"> a</w:t>
      </w:r>
      <w:r>
        <w:t xml:space="preserve"> nedoriešené vlastnícke vzťahy k pôde a nehnuteľnému majetku.</w:t>
      </w:r>
    </w:p>
    <w:p w14:paraId="1E299A2E" w14:textId="6482DBE2" w:rsidR="00F24ACA" w:rsidRDefault="00F24ACA" w:rsidP="007506AC">
      <w:r>
        <w:t xml:space="preserve">Podľa dostupných dát na základe špecializovaných výskumov v prostredí marginalizovanej rómskej populácie (napr. výskum UNDP z roku 2012) je značná časť rómskych domácností vystavená riziku deprivácie v oblasti spotreby. V rámci tejto populácie prevažuje nízke vzdelanie </w:t>
      </w:r>
      <w:r w:rsidR="007506AC">
        <w:t>–</w:t>
      </w:r>
      <w:r>
        <w:t xml:space="preserve"> </w:t>
      </w:r>
      <w:r w:rsidR="007506AC">
        <w:t>takmer jedna pätina (18,4</w:t>
      </w:r>
      <w:r w:rsidR="00664F42">
        <w:t xml:space="preserve"> </w:t>
      </w:r>
      <w:r w:rsidR="007506AC">
        <w:t xml:space="preserve">%) členov marginalizovaných rómskych komunít nemá ukončenú </w:t>
      </w:r>
      <w:r>
        <w:t>štandardn</w:t>
      </w:r>
      <w:r w:rsidR="007506AC">
        <w:t>ú</w:t>
      </w:r>
      <w:r>
        <w:t xml:space="preserve"> základn</w:t>
      </w:r>
      <w:r w:rsidR="007506AC">
        <w:t>ú</w:t>
      </w:r>
      <w:r>
        <w:t xml:space="preserve"> škol</w:t>
      </w:r>
      <w:r w:rsidR="007506AC">
        <w:t>u</w:t>
      </w:r>
      <w:r>
        <w:t xml:space="preserve"> </w:t>
      </w:r>
      <w:r w:rsidR="007506AC">
        <w:t xml:space="preserve">a tri pätiny (59,7 %) majú </w:t>
      </w:r>
      <w:r>
        <w:t xml:space="preserve">ukončenú </w:t>
      </w:r>
      <w:r w:rsidR="007506AC">
        <w:t xml:space="preserve">iba </w:t>
      </w:r>
      <w:r>
        <w:t>štandardnú základnú školu . Z detí vo veku 5</w:t>
      </w:r>
      <w:r w:rsidR="00664F42">
        <w:t xml:space="preserve"> – </w:t>
      </w:r>
      <w:r>
        <w:t>6 rokov</w:t>
      </w:r>
      <w:r w:rsidR="007506AC">
        <w:t xml:space="preserve"> pochádzajúcich z MRK</w:t>
      </w:r>
      <w:r>
        <w:t xml:space="preserve"> navštevovala materskú školu menej ako jedna tretina. Podľa výskumu </w:t>
      </w:r>
      <w:r w:rsidR="007160B3">
        <w:t xml:space="preserve">Agentúry </w:t>
      </w:r>
      <w:r w:rsidRPr="007160B3">
        <w:t>EU</w:t>
      </w:r>
      <w:r w:rsidR="007160B3" w:rsidRPr="00E6350E">
        <w:t xml:space="preserve"> pre základné práva</w:t>
      </w:r>
      <w:r w:rsidRPr="007160B3">
        <w:t xml:space="preserve"> </w:t>
      </w:r>
      <w:r w:rsidR="007160B3" w:rsidRPr="00E6350E">
        <w:t>(</w:t>
      </w:r>
      <w:r w:rsidRPr="007160B3">
        <w:t>FRA</w:t>
      </w:r>
      <w:r w:rsidR="007160B3">
        <w:t>)</w:t>
      </w:r>
      <w:r>
        <w:t xml:space="preserve"> z roku 2015 celkovo 80</w:t>
      </w:r>
      <w:r w:rsidR="00664F42">
        <w:t xml:space="preserve"> </w:t>
      </w:r>
      <w:r>
        <w:t>% Rómov žije pod hranicou miery rizika chudoby.</w:t>
      </w:r>
    </w:p>
    <w:p w14:paraId="3D0C98B9" w14:textId="57DFE73C" w:rsidR="00F24ACA" w:rsidRDefault="00F24ACA" w:rsidP="00F24ACA">
      <w:r>
        <w:t>Veľká časť Rómov žije vo vidieckom prostredí, v segregovaných osídleniach a v biednych podmienkach bývania charakterizovaných nízkou kvalitou obydlí, nedostatkom priestoru a prehustenosťou. Tieto osídlenia sú zároveň charakterizované absenciou základnej technickej infraštruktúry a nedostatkom takých základných životných potrieb ako je prístup k zdravotne nezávadnej vode</w:t>
      </w:r>
      <w:r w:rsidR="007506AC">
        <w:t>. Navyše</w:t>
      </w:r>
      <w:r>
        <w:t xml:space="preserve"> </w:t>
      </w:r>
      <w:r w:rsidR="007506AC">
        <w:t>s</w:t>
      </w:r>
      <w:r>
        <w:t xml:space="preserve">a často nachádzajú na miestach, ktoré sú kontaminované starými environmentálnymi záťažami. Podľa výskumov UNDP takmer 50 % obydlí </w:t>
      </w:r>
      <w:r w:rsidRPr="00B61EAC">
        <w:t>rómskych domácností je bez prístupu k vodovodu a takmer 10 % je bez akéhokoľvek prístu</w:t>
      </w:r>
      <w:r>
        <w:t>pu k zdravotne nezávadnej vode (a je odkázané na konzumáciu vody z riek, potokov a nekrytých prameňov).</w:t>
      </w:r>
    </w:p>
    <w:p w14:paraId="274BCC06" w14:textId="6F352585" w:rsidR="00F24ACA" w:rsidRDefault="00F24ACA" w:rsidP="007506AC">
      <w:r>
        <w:t>V boji proti chudobe a v úsilí znižovať nerovnosti je nevyhnutné uplatňovať integrovaný a komplexný prístup v lokalitách s prítomnosťou separovaných a segregovaných rómskych komunít, ktorý umožní lepš</w:t>
      </w:r>
      <w:r w:rsidR="007506AC">
        <w:t>í</w:t>
      </w:r>
      <w:r>
        <w:t xml:space="preserve"> prístup ku kvalitnému inkluzívnemu a desegregovanému vzdelávaniu, zníži mieru dlhodobej nezamestnanosti, umožn</w:t>
      </w:r>
      <w:r w:rsidR="007506AC">
        <w:t>í</w:t>
      </w:r>
      <w:r>
        <w:t xml:space="preserve"> prístup k sociálnej infraštruktúre, zdravotným službám a zvýši hygienick</w:t>
      </w:r>
      <w:r w:rsidR="007506AC">
        <w:t>é</w:t>
      </w:r>
      <w:r>
        <w:t xml:space="preserve"> štandard</w:t>
      </w:r>
      <w:r w:rsidR="007506AC">
        <w:t>y</w:t>
      </w:r>
      <w:r>
        <w:t xml:space="preserve"> bývania. Zvýšením zaškolenosti detí v </w:t>
      </w:r>
      <w:r>
        <w:lastRenderedPageBreak/>
        <w:t>predškolských zariadeniach sa prispeje k zníženiu zaraďovania rómskych detí do špeciálnych škôl a špeciálnych tried.</w:t>
      </w:r>
    </w:p>
    <w:p w14:paraId="21DEBB5A" w14:textId="77777777" w:rsidR="00F24ACA" w:rsidRDefault="00F24ACA" w:rsidP="00F24ACA">
      <w:r>
        <w:t>Dosiaľ nevyužitý potenciál pre podporu zamestnávania dlhodobo nezamestnaných predstavuje oblasť sociálnej ekonomiky, t. j. takých ekonomických aktivít, ktoré prinášajú nefinančný spoločenský prospech, pri nižšej úrovni zisku, než je komerčne akceptovaná. Medzi pozitívne externality takýchto činností patrí aj podpora zamestnávania dlhodobo nezamestnaných a marginalizovaných skupín obyvateľstva. Subjekty sociálnej ekonomiky sa javia ako veľmi vhodný nástroj podpory zamestnanosti MRK. Ich hlavným účelom nie je tvoriť zisk, ale prinášať netrhové spoločenské prínosy, akou je napr. rast zamestnanosti uchádzačov zo znevýhodnených skupín, integrácia marginalizovaných jedincov a komunít do širšej spoločnosti, rozvoj zaostalejších regiónov atď. Medzi formy podpory sociálneho začleňovania patrí aj uplatňovanie sociálneho aspektu verejného obstarávania.</w:t>
      </w:r>
    </w:p>
    <w:p w14:paraId="78C635DF" w14:textId="77777777" w:rsidR="00F24ACA" w:rsidRDefault="00F24ACA" w:rsidP="00F24ACA">
      <w:r>
        <w:t>V podmienkach SR v oblasti sociálnych služieb výrazne prevláda tradičný inštitucionálny model. Z toho dôvodu je nevyhnutné postupne transformovať tento systém smerom k rozvoju systému sociálnych služieb a systému náhradnej starostlivosti, ktoré sú založené na komunitnej báze. Doposiaľ však deinštitucionalizácia veľkokapacitných zariadení a služieb prebieha pomaly, komunitné služby sú nedostatočne rozvinuté.</w:t>
      </w:r>
    </w:p>
    <w:p w14:paraId="56F060EA" w14:textId="77777777" w:rsidR="007506AC" w:rsidRDefault="00F24ACA" w:rsidP="00F24ACA">
      <w:r>
        <w:t xml:space="preserve">V rámci podpory osôb so zdravotným postihnutím je nevyhnutné vytvárať podmienky pre uplatňovanie rovnosti príležitostí, prijímania opatrení na prevenciu a prekonávanie rôznych foriem znevýhodnení a boja proti diskriminácii. </w:t>
      </w:r>
    </w:p>
    <w:p w14:paraId="6E166571" w14:textId="1140D0AF" w:rsidR="00F24ACA" w:rsidRDefault="00F24ACA" w:rsidP="00F24ACA">
      <w:r>
        <w:t>V oblasti zdravotnej starostlivosti a verejného zdravia je žiaduce integrovaním a zefektívnením zdravotných služieb zvýšiť prístup ku kvalitnej zdravotnej starostlivosti, vrátane preventívnej zdravotnej starostlivosti a zdravotníckej osvety. Špecifické opatrenia vo forme komunitnej práce v oblasti zdravotnej výchovy sú potrebné najmä pre obyvateľov MRK</w:t>
      </w:r>
      <w:r w:rsidR="007506AC">
        <w:t>, ktorých</w:t>
      </w:r>
      <w:r>
        <w:t xml:space="preserve"> </w:t>
      </w:r>
      <w:r w:rsidR="007506AC">
        <w:t>ú</w:t>
      </w:r>
      <w:r>
        <w:t xml:space="preserve">roveň kvality zdravia </w:t>
      </w:r>
      <w:r w:rsidR="007506AC">
        <w:t xml:space="preserve">a plnohodnotnú participáciu na živote spoločnosti </w:t>
      </w:r>
      <w:r>
        <w:t>v značnej miere podmieňujú aj hygienické štandardy</w:t>
      </w:r>
      <w:r w:rsidR="007506AC">
        <w:t xml:space="preserve"> a</w:t>
      </w:r>
      <w:r>
        <w:t xml:space="preserve"> </w:t>
      </w:r>
      <w:r w:rsidR="007506AC">
        <w:t>p</w:t>
      </w:r>
      <w:r>
        <w:t>rístup k pitnej vode.</w:t>
      </w:r>
    </w:p>
    <w:p w14:paraId="7E9272C8" w14:textId="77777777" w:rsidR="00AC78DF" w:rsidRDefault="00AC78DF" w:rsidP="00F24ACA"/>
    <w:p w14:paraId="29E62A98" w14:textId="3A328D09" w:rsidR="00730990" w:rsidRDefault="00957F77" w:rsidP="00730990">
      <w:pPr>
        <w:pStyle w:val="Nadpis3"/>
      </w:pPr>
      <w:bookmarkStart w:id="37" w:name="_Toc500706011"/>
      <w:r>
        <w:t xml:space="preserve">4 </w:t>
      </w:r>
      <w:r w:rsidR="00730990">
        <w:t>S</w:t>
      </w:r>
      <w:r w:rsidR="00730990" w:rsidRPr="000166D1">
        <w:t xml:space="preserve">tručný prehľad existujúcich </w:t>
      </w:r>
      <w:r w:rsidR="00730990">
        <w:t>dlhodobých stratégií</w:t>
      </w:r>
      <w:r w:rsidR="00730990" w:rsidRPr="000166D1">
        <w:t xml:space="preserve"> SR </w:t>
      </w:r>
      <w:r w:rsidR="00730990">
        <w:t>v danej téme</w:t>
      </w:r>
      <w:bookmarkEnd w:id="37"/>
    </w:p>
    <w:p w14:paraId="0E47F56D" w14:textId="3D2BC50F" w:rsidR="00F24ACA" w:rsidRDefault="00F24ACA" w:rsidP="007506AC">
      <w:r>
        <w:t>Dokumenty na národnej úrovni z koncepčného hľadiska možno rozdeliť do niekoľkých kategórií</w:t>
      </w:r>
      <w:r w:rsidR="007506AC">
        <w:t>.</w:t>
      </w:r>
      <w:r>
        <w:t xml:space="preserve"> Do </w:t>
      </w:r>
      <w:r w:rsidR="007506AC">
        <w:t>prve</w:t>
      </w:r>
      <w:r>
        <w:t xml:space="preserve">j kategórie patria strategické dokumenty najvyššej úrovne, v ktorých sú zadefinované hlavné ambície, ciele a strategické prístupy: takúto ambíciu mala Stratégia </w:t>
      </w:r>
      <w:r w:rsidR="007506AC">
        <w:t>trvalo udržateľného rozvoja</w:t>
      </w:r>
      <w:r>
        <w:t xml:space="preserve"> prijatá v roku 2001, </w:t>
      </w:r>
      <w:r w:rsidR="007506AC">
        <w:t xml:space="preserve">alebo </w:t>
      </w:r>
      <w:r>
        <w:t>Lisabonská stratégia EÚ</w:t>
      </w:r>
      <w:r w:rsidR="007506AC" w:rsidRPr="007506AC">
        <w:t xml:space="preserve"> </w:t>
      </w:r>
      <w:r w:rsidR="007506AC">
        <w:t>z roku 2010</w:t>
      </w:r>
      <w:r>
        <w:t xml:space="preserve">. Na európskej úrovni prijatá stratégia Európa 2020, ktorá </w:t>
      </w:r>
      <w:r w:rsidR="007506AC">
        <w:t xml:space="preserve">radí </w:t>
      </w:r>
      <w:r>
        <w:t xml:space="preserve">boj proti chudobe a sociálnemu vylúčeniu medzi hlavné ciele EÚ, bola premietnutá do slovenských podmienok dokumentom Národný program reforiem (2011). Tento </w:t>
      </w:r>
      <w:r w:rsidR="007506AC">
        <w:t xml:space="preserve">materiál </w:t>
      </w:r>
      <w:r>
        <w:t>definuje všeobecný rámec priorít v hospodárskych a štrukturálnych politikách a prepája oblasť zamestnanosti s podporou sociálneho začlenenia a znižovania chudoby. Stratégia konštatuje, že „najúčinnejším prostriedkom na zabezpečenie rastu príjmov obyvateľstva je zvyšovanie zamestnanosti“, a to za predpokladu, že je sprevádzané efektívnymi a účinnými redistribučnými politikami zameranými na marginalizované skupiny.</w:t>
      </w:r>
    </w:p>
    <w:p w14:paraId="799F20D9" w14:textId="13B6640F" w:rsidR="00F24ACA" w:rsidRDefault="00F24ACA" w:rsidP="007506AC">
      <w:r>
        <w:t xml:space="preserve">Do </w:t>
      </w:r>
      <w:r w:rsidR="007506AC">
        <w:t>druh</w:t>
      </w:r>
      <w:r>
        <w:t>ej kategórie patria stratégie, ktoré sa zameriavajúce na špecifické ohrozené skupiny a/alebo parciálne oblasti sociálneho začleňovania v širšom spoločenskom kontexte. V roku 2012 prijatá Národná sociálna správa vychádzala z Národného programu reforiem a rozprac</w:t>
      </w:r>
      <w:r w:rsidR="007506AC">
        <w:t>ovala</w:t>
      </w:r>
      <w:r>
        <w:t xml:space="preserve"> ho pre oblasť sociálneho začlenenia a sociálnej ochrany. Národná sociálna správa zároveň stanovila prioritné oblasti, na ktoré sa politiky sociálneho začleňovania mali primárne zamerať: reformu sociálnych dávok, podporu sociálne vylúčených spoločenstiev a zabezpečenie dostupnosti a kvality sociálnych služieb. Zastrešujúci strategický dokument pre </w:t>
      </w:r>
      <w:r>
        <w:lastRenderedPageBreak/>
        <w:t xml:space="preserve">politiky sociálneho začleňovania je Národná rámcová stratégia podpory sociálneho začlenenia a boja proti chudobe. Kľúčovými cieľmi </w:t>
      </w:r>
      <w:r w:rsidR="007506AC">
        <w:t>s</w:t>
      </w:r>
      <w:r>
        <w:t>tratégie bolo podporiť sociálnu inklúziu a boj proti chudobe a zabezpečiť senzibilizáciu verejnosti. Stratégia si zároveň dala za</w:t>
      </w:r>
      <w:r w:rsidR="007506AC">
        <w:t xml:space="preserve"> </w:t>
      </w:r>
      <w:r>
        <w:t>cieľ podporiť sociálnu inklúziu osôb ohrozených vylúčením alebo sociálne vylúčených prostredníctvom rozvoja služieb starostlivosti s osobitným zreteľom na marginalizované rómske komunity.</w:t>
      </w:r>
    </w:p>
    <w:p w14:paraId="68BC2542" w14:textId="572956BC" w:rsidR="00F24ACA" w:rsidRDefault="00F24ACA" w:rsidP="007506AC">
      <w:r>
        <w:t>V oblasti podpory udržateľnosti</w:t>
      </w:r>
      <w:r w:rsidR="007506AC">
        <w:t xml:space="preserve"> a</w:t>
      </w:r>
      <w:r>
        <w:t xml:space="preserve"> kvality zamestnanosti a mobility pracovnej sily bola prijatá Národná stratégia zamestnanosti Slovenskej republiky do roku 2020 ako nadrezortný dokument, ktorý aj s prispením sociálnych partnerov, samospráv a občianskej spoločnosti identifikoval mechanizmy podporujúce rozvoj zamestnanosti. </w:t>
      </w:r>
    </w:p>
    <w:p w14:paraId="14EE3BB5" w14:textId="6742140B" w:rsidR="00F24ACA" w:rsidRDefault="00F24ACA" w:rsidP="007506AC">
      <w:r>
        <w:t>V súvislosti so sociálnym vylúčením rómskej populácie bol na jar roku 2011 na európskej úrovni formulovaný Rámec EÚ pre národné stratégie integrácie Rómov do roku 2020. Podľa tohto dokumentu národné štáty mali vypracovať stratégie, na</w:t>
      </w:r>
      <w:r w:rsidR="007506AC">
        <w:t xml:space="preserve"> základe</w:t>
      </w:r>
      <w:r>
        <w:t xml:space="preserve"> ktor</w:t>
      </w:r>
      <w:r w:rsidR="007506AC">
        <w:t>ých</w:t>
      </w:r>
      <w:r>
        <w:t xml:space="preserve"> by jednotlivé krajiny realizova</w:t>
      </w:r>
      <w:r w:rsidR="007506AC">
        <w:t>li</w:t>
      </w:r>
      <w:r>
        <w:t xml:space="preserve"> špecifické intervencie na podporu integrácie rómskej populácie na národnej a lokálnej úrovni. Národná stratégia Slovenskej republiky pre integráciu Rómov do roku 2020 sa prioritne zamerala na štyri hlavné oblasti: vzdelanie, zamestnanosť, zdravotná starostlivosť a bývanie. Stratégia slúžila ako východiskový materiál pre nastavenie využívania finančnej pomoci z Európskych štrukturálnych a investičných fondov v rokoch 2014-2020. Prijatie Stratégie bolo zo strany EK definované ako tzv. „</w:t>
      </w:r>
      <w:r w:rsidR="007506AC">
        <w:t xml:space="preserve">ex-ante </w:t>
      </w:r>
      <w:r>
        <w:t xml:space="preserve">kondicionalita”, t. j.  nevyhnutná podmienka, ktorá musí byť splnená Slovenskom pre čerpanie finančných prostriedkov európskeho spoločenstva v rokoch 2014-2020. </w:t>
      </w:r>
    </w:p>
    <w:p w14:paraId="5BBF5F9D" w14:textId="21EEB558" w:rsidR="00957F77" w:rsidRDefault="00F24ACA" w:rsidP="007506AC">
      <w:r>
        <w:t xml:space="preserve">Medzi jednotlivými členskými štátmi sa implementácia </w:t>
      </w:r>
      <w:r w:rsidR="007506AC">
        <w:t xml:space="preserve">stratégie </w:t>
      </w:r>
      <w:r>
        <w:t>Európa 2020 koordinuje prostredníctvom tzv. európskeho semestra. Z hľadiska sociálneho začlenenia majú pre Slovensko význam národné špecifické odporúčania (Country Specific Recommendation) na roky 2015/2016 číslo 2 a číslo 3: Tieto sa týkajú boja proti nezamestnanosti, zvyšovania zamestnanosti, boja proti sociálnemu vylúčeniu a zlepšovaniu účasti rómskych detí vo vyučovacom procese hlavného prúdu.  Odporúčanie číslo 2 kladie do popredia nevyhnutnosť riešiť problém dlhodobej nezamestnanosti, a to zavedením aktivačných opatrení, druhej šance na vzdelávanie a vysoko kvalitnej odbornej prípravy prispôsobenej potrebám jednotlivcov</w:t>
      </w:r>
      <w:r w:rsidR="007506AC">
        <w:t>,</w:t>
      </w:r>
      <w:r>
        <w:t xml:space="preserve"> </w:t>
      </w:r>
      <w:r w:rsidR="007506AC">
        <w:t xml:space="preserve">ako aj </w:t>
      </w:r>
      <w:r>
        <w:t>motivačn</w:t>
      </w:r>
      <w:r w:rsidR="007506AC">
        <w:t>ými</w:t>
      </w:r>
      <w:r>
        <w:t xml:space="preserve"> opatrenia</w:t>
      </w:r>
      <w:r w:rsidR="007506AC">
        <w:t>mi</w:t>
      </w:r>
      <w:r>
        <w:t xml:space="preserve"> pre ženy, aby zostali v zamestnaní alebo sa do zamestnania vrátili</w:t>
      </w:r>
      <w:r w:rsidR="007506AC">
        <w:t xml:space="preserve"> (napr. </w:t>
      </w:r>
      <w:r>
        <w:t>zlepšením poskytovania služieb starostlivosti o</w:t>
      </w:r>
      <w:r w:rsidR="007506AC">
        <w:t> </w:t>
      </w:r>
      <w:r>
        <w:t>deti</w:t>
      </w:r>
      <w:r w:rsidR="007506AC">
        <w:t>)</w:t>
      </w:r>
      <w:r>
        <w:t>. V oblasti vzdelávania (Odporúčanie číslo 4) sa kladie dôraz na zlepšenie prístupu k vzdelávaniu v hlavnom vzdelávacom prúde pre deti príslušníkov marginalizovaných komunít.</w:t>
      </w:r>
    </w:p>
    <w:p w14:paraId="311BE098" w14:textId="77777777" w:rsidR="007564DC" w:rsidRDefault="007564DC">
      <w:pPr>
        <w:spacing w:after="0"/>
        <w:jc w:val="left"/>
        <w:rPr>
          <w:rFonts w:eastAsiaTheme="majorEastAsia"/>
          <w:b/>
          <w:bCs w:val="0"/>
          <w:color w:val="auto"/>
          <w:sz w:val="32"/>
          <w:szCs w:val="32"/>
        </w:rPr>
      </w:pPr>
      <w:r>
        <w:br w:type="page"/>
      </w:r>
    </w:p>
    <w:p w14:paraId="0E10F99C" w14:textId="026C145A" w:rsidR="006A5192" w:rsidRPr="009B246F" w:rsidRDefault="00E67367" w:rsidP="009B246F">
      <w:pPr>
        <w:pStyle w:val="Nadpis1"/>
      </w:pPr>
      <w:bookmarkStart w:id="38" w:name="_Toc500706012"/>
      <w:r w:rsidRPr="009B246F">
        <w:lastRenderedPageBreak/>
        <w:t xml:space="preserve">Časť </w:t>
      </w:r>
      <w:r w:rsidR="00AB58EE" w:rsidRPr="009B246F">
        <w:t>2</w:t>
      </w:r>
      <w:r w:rsidRPr="009B246F">
        <w:t>:</w:t>
      </w:r>
      <w:r w:rsidR="00307257" w:rsidRPr="009B246F">
        <w:t xml:space="preserve"> Návrh metodológie pre definovanie a</w:t>
      </w:r>
      <w:r w:rsidR="007D5414">
        <w:t> </w:t>
      </w:r>
      <w:r w:rsidR="00307257" w:rsidRPr="009B246F">
        <w:t>dosahovanie</w:t>
      </w:r>
      <w:r w:rsidR="007D5414">
        <w:t xml:space="preserve"> </w:t>
      </w:r>
      <w:r w:rsidR="00307257" w:rsidRPr="009B246F">
        <w:t>cieľov 2030</w:t>
      </w:r>
      <w:bookmarkEnd w:id="38"/>
    </w:p>
    <w:p w14:paraId="729473B8" w14:textId="1624BA83" w:rsidR="00957F77" w:rsidRDefault="00957F77" w:rsidP="004635B8"/>
    <w:p w14:paraId="13800659" w14:textId="1FE2F754" w:rsidR="00307257" w:rsidRPr="009B246F" w:rsidRDefault="009F0794" w:rsidP="009B246F">
      <w:pPr>
        <w:pStyle w:val="Nadpis2"/>
      </w:pPr>
      <w:bookmarkStart w:id="39" w:name="_Toc500706013"/>
      <w:r w:rsidRPr="009B246F">
        <w:t>2.1 Metodológia pre identifikáciu</w:t>
      </w:r>
      <w:r w:rsidR="00307257" w:rsidRPr="009B246F">
        <w:t xml:space="preserve"> priorít</w:t>
      </w:r>
      <w:bookmarkEnd w:id="39"/>
    </w:p>
    <w:p w14:paraId="7E695307" w14:textId="3918BF83" w:rsidR="002A67B7" w:rsidRDefault="002A67B7" w:rsidP="00BC6329">
      <w:r>
        <w:t xml:space="preserve">Cieľom </w:t>
      </w:r>
      <w:r w:rsidR="00BC6329">
        <w:t xml:space="preserve">tejto štúdie </w:t>
      </w:r>
      <w:r>
        <w:t>je navrhnúť limitované množstv</w:t>
      </w:r>
      <w:r w:rsidR="00BC6329">
        <w:t>o</w:t>
      </w:r>
      <w:r>
        <w:t xml:space="preserve"> vhodne definovaných </w:t>
      </w:r>
      <w:r w:rsidR="00BC6329">
        <w:t xml:space="preserve">kľúčových tém pre rozvoj SR do roku 2030, ako prvotného expertného vstupu do širšej diskusie o národných </w:t>
      </w:r>
      <w:r>
        <w:t>prior</w:t>
      </w:r>
      <w:r w:rsidR="00BC6329">
        <w:t>i</w:t>
      </w:r>
      <w:r>
        <w:t>t</w:t>
      </w:r>
      <w:r w:rsidR="00BC6329">
        <w:t xml:space="preserve">ách implementácie </w:t>
      </w:r>
      <w:r>
        <w:t>Agendy 2030</w:t>
      </w:r>
      <w:r w:rsidR="00BC6329">
        <w:t xml:space="preserve"> v kontexte Slovenska</w:t>
      </w:r>
      <w:r>
        <w:t xml:space="preserve">. </w:t>
      </w:r>
      <w:r w:rsidR="00BC6329">
        <w:t>Národné p</w:t>
      </w:r>
      <w:r>
        <w:t xml:space="preserve">riority budú určené v niekoľkých na seba nasledujúcich krokoch. Komplexnosť riešenej témy vyžaduje realizáciu veľkého množstva aktivít s využitím prognostických metód pri súčasnom zapojení </w:t>
      </w:r>
      <w:r w:rsidR="00A53133" w:rsidRPr="00A53133">
        <w:t xml:space="preserve">predstaviteľov </w:t>
      </w:r>
      <w:r w:rsidR="00BC6329">
        <w:t xml:space="preserve">všetkých zainteresovaných </w:t>
      </w:r>
      <w:r>
        <w:t xml:space="preserve">aktérov v rámci participatívneho procesu. </w:t>
      </w:r>
    </w:p>
    <w:p w14:paraId="1E6D2400" w14:textId="603386CB" w:rsidR="00B96BB2" w:rsidRDefault="002A67B7" w:rsidP="002A67B7">
      <w:r>
        <w:t xml:space="preserve">V prvom kroku bol uskutočnený výber </w:t>
      </w:r>
      <w:r w:rsidR="00BC6329">
        <w:t>cieľov udržateľného rozvoja</w:t>
      </w:r>
      <w:r>
        <w:t xml:space="preserve"> a globálnych výziev definovaných Svetovým ekonomickým fórom, ktoré sú relevantné pre Slovenskú republiku. Výber hlavných tém sa uskutočnil na základe prioritizačného procesu, do ktorého sa zapojili experti z analytických jednotiek ústredných orgánov štátnej správy. V rámci </w:t>
      </w:r>
      <w:r w:rsidR="003628B4">
        <w:t xml:space="preserve">následnej štúdie </w:t>
      </w:r>
      <w:r>
        <w:t>boli</w:t>
      </w:r>
      <w:r w:rsidR="003628B4">
        <w:t xml:space="preserve"> v každej z vybraných tém</w:t>
      </w:r>
      <w:r>
        <w:t xml:space="preserve"> identifikované hlavné globálne trendy, </w:t>
      </w:r>
      <w:r w:rsidR="003628B4">
        <w:t xml:space="preserve">analyzovaná </w:t>
      </w:r>
      <w:r>
        <w:t xml:space="preserve">situácia v SR, </w:t>
      </w:r>
      <w:r w:rsidR="003628B4">
        <w:t>existujúca medzera medzi súčasným a žiadúcim stavom</w:t>
      </w:r>
      <w:r>
        <w:t>, ako aj existujúce</w:t>
      </w:r>
      <w:r w:rsidR="007D5414">
        <w:t xml:space="preserve"> politiky implementované v SR. </w:t>
      </w:r>
    </w:p>
    <w:p w14:paraId="3F31EE18" w14:textId="77777777" w:rsidR="00307257" w:rsidRPr="009F42C6" w:rsidRDefault="00307257" w:rsidP="009B246F">
      <w:pPr>
        <w:pStyle w:val="Nadpis2"/>
      </w:pPr>
      <w:bookmarkStart w:id="40" w:name="_Toc500706014"/>
      <w:r w:rsidRPr="009F42C6">
        <w:t>2.2 Metodológia participatívneho procesu</w:t>
      </w:r>
      <w:bookmarkEnd w:id="40"/>
    </w:p>
    <w:p w14:paraId="65DD7355" w14:textId="590A7F32" w:rsidR="00F43C34" w:rsidRPr="004E2E90" w:rsidRDefault="00F43C34" w:rsidP="002172B7">
      <w:r>
        <w:t xml:space="preserve">Komplexnosť problematiky, ako aj možné dosahy </w:t>
      </w:r>
      <w:r w:rsidR="002172B7">
        <w:t xml:space="preserve">stanovanie národných priorít implementácie </w:t>
      </w:r>
      <w:r>
        <w:t xml:space="preserve">Agendy 2030 na Slovenskú republiku si bude vyžadovať realizáciu veľkého množstva </w:t>
      </w:r>
      <w:r w:rsidR="002172B7">
        <w:t xml:space="preserve">participatívnych </w:t>
      </w:r>
      <w:r>
        <w:t xml:space="preserve">aktivít so zohľadnením špecifík jednotlivých </w:t>
      </w:r>
      <w:r w:rsidR="002172B7">
        <w:t xml:space="preserve">zainteresovaných aktérov a cieľových </w:t>
      </w:r>
      <w:r>
        <w:t xml:space="preserve">skupín. Proces bude spojený s intenzívnou komunikáciou smerom k verejnosti tak, aby bola verejnosť dostatočne informovaná o cieľoch, časovom rámci a možnostiach aktívneho zapojenia sa občanov do určovania národných priorít </w:t>
      </w:r>
      <w:r w:rsidR="002172B7">
        <w:t xml:space="preserve">implementácie </w:t>
      </w:r>
      <w:r>
        <w:t xml:space="preserve">Agendy 2030 a jej významu pre Slovensko. </w:t>
      </w:r>
      <w:r w:rsidRPr="004E2E90">
        <w:t xml:space="preserve">Všetky aktivity budú koordinované Úradom splnomocnenca vlády SR pre rozvoj občianskej spoločnosti. </w:t>
      </w:r>
    </w:p>
    <w:p w14:paraId="1790BAF3" w14:textId="3A59177D" w:rsidR="00F43C34" w:rsidRDefault="00F43C34" w:rsidP="000B62E2">
      <w:pPr>
        <w:rPr>
          <w:color w:val="auto"/>
        </w:rPr>
      </w:pPr>
      <w:r>
        <w:t>Návrh participatívneho procesu vychádza z odporúčaní materiálu Pravidlá zapájania verejnosti do tvorby verejných politík, ktorý bol schválený uznesením vlády SR č. 645/2014.</w:t>
      </w:r>
      <w:r w:rsidR="000B62E2">
        <w:t xml:space="preserve"> </w:t>
      </w:r>
      <w:r>
        <w:t xml:space="preserve">Pre zabezpečenie čo </w:t>
      </w:r>
      <w:r w:rsidR="002172B7">
        <w:t>najširšej</w:t>
      </w:r>
      <w:r>
        <w:t xml:space="preserve"> particip</w:t>
      </w:r>
      <w:r w:rsidR="002172B7">
        <w:t>ácie</w:t>
      </w:r>
      <w:r>
        <w:t xml:space="preserve"> bude nadviazaná spolupráca s kľúčovými aktérmi</w:t>
      </w:r>
      <w:r w:rsidR="000B62E2">
        <w:t xml:space="preserve"> a </w:t>
      </w:r>
      <w:r>
        <w:t xml:space="preserve">potenciálnymi partnermi, ako sú napr. samosprávy, univerzity/akademická obec, </w:t>
      </w:r>
      <w:r w:rsidRPr="00DF0117">
        <w:rPr>
          <w:color w:val="auto"/>
        </w:rPr>
        <w:t xml:space="preserve">podnikateľský sektor, odbory, zamestnávateľské a podnikateľské stavovské organizácie, mimovládne neziskové organizácie, </w:t>
      </w:r>
      <w:r w:rsidR="002172B7">
        <w:rPr>
          <w:color w:val="auto"/>
        </w:rPr>
        <w:t xml:space="preserve">alebo </w:t>
      </w:r>
      <w:r w:rsidRPr="00DF0117">
        <w:rPr>
          <w:color w:val="auto"/>
        </w:rPr>
        <w:t>orgány štátnej a verejnej správy. Z dôvodu maximalizácie komunikačných efektov a pre zvýšenie participácie rôznych skupín spoločnosti bude po vytvorení Komunikačnej stratégie zriadená web stránka, na ktor</w:t>
      </w:r>
      <w:r w:rsidR="002172B7">
        <w:rPr>
          <w:color w:val="auto"/>
        </w:rPr>
        <w:t>ej</w:t>
      </w:r>
      <w:r w:rsidRPr="00DF0117">
        <w:rPr>
          <w:color w:val="auto"/>
        </w:rPr>
        <w:t xml:space="preserve"> bude umožnené vyjad</w:t>
      </w:r>
      <w:r w:rsidR="000B62E2">
        <w:rPr>
          <w:color w:val="auto"/>
        </w:rPr>
        <w:t xml:space="preserve">rovať názor a </w:t>
      </w:r>
      <w:r w:rsidRPr="00DF0117">
        <w:rPr>
          <w:color w:val="auto"/>
        </w:rPr>
        <w:t>prispievať k definovaniu priorít. Vytvorené webové sídlo umožní zber podnetov a pripomienkovanie dokumentov</w:t>
      </w:r>
      <w:r w:rsidR="00204F4B">
        <w:rPr>
          <w:color w:val="auto"/>
        </w:rPr>
        <w:t xml:space="preserve"> </w:t>
      </w:r>
      <w:r w:rsidRPr="00DF0117">
        <w:rPr>
          <w:color w:val="auto"/>
        </w:rPr>
        <w:t xml:space="preserve">a výstupov. </w:t>
      </w:r>
    </w:p>
    <w:p w14:paraId="57A64D65" w14:textId="0715B9D7" w:rsidR="000B62E2" w:rsidRDefault="000B62E2" w:rsidP="000B62E2">
      <w:pPr>
        <w:rPr>
          <w:color w:val="auto"/>
        </w:rPr>
      </w:pPr>
    </w:p>
    <w:p w14:paraId="67871D35" w14:textId="77777777" w:rsidR="000B62E2" w:rsidRPr="00DF0117" w:rsidRDefault="000B62E2" w:rsidP="000B62E2">
      <w:pPr>
        <w:rPr>
          <w:bCs w:val="0"/>
          <w:color w:val="auto"/>
        </w:rPr>
      </w:pPr>
    </w:p>
    <w:p w14:paraId="0273DAD1" w14:textId="1F9182FE" w:rsidR="00FB42D9" w:rsidRPr="00FB42D9" w:rsidRDefault="006A5192" w:rsidP="007D5414">
      <w:pPr>
        <w:pStyle w:val="Nadpis2"/>
      </w:pPr>
      <w:bookmarkStart w:id="41" w:name="_Toc500706015"/>
      <w:r w:rsidRPr="0091767A">
        <w:lastRenderedPageBreak/>
        <w:t>Prílohy</w:t>
      </w:r>
      <w:bookmarkEnd w:id="41"/>
    </w:p>
    <w:p w14:paraId="7CA2F108" w14:textId="77777777" w:rsidR="00FB42D9" w:rsidRDefault="00FB42D9" w:rsidP="00715F57">
      <w:pPr>
        <w:pStyle w:val="Nadpis3"/>
      </w:pPr>
      <w:bookmarkStart w:id="42" w:name="_Toc500706016"/>
      <w:r>
        <w:t>Príloha k téme 1</w:t>
      </w:r>
      <w:bookmarkEnd w:id="42"/>
    </w:p>
    <w:p w14:paraId="791F003C" w14:textId="77777777" w:rsidR="00FB42D9" w:rsidRDefault="00FB42D9" w:rsidP="00FB42D9"/>
    <w:p w14:paraId="22608F69" w14:textId="01483A39" w:rsidR="00FB42D9" w:rsidRDefault="008C40B2" w:rsidP="00FB42D9">
      <w:pPr>
        <w:keepNext/>
        <w:keepLines/>
      </w:pPr>
      <w:bookmarkStart w:id="43" w:name="_Toc500705970"/>
      <w:r w:rsidRPr="008F3AE0">
        <w:rPr>
          <w:b/>
        </w:rPr>
        <w:t xml:space="preserve">Tabuľka </w:t>
      </w:r>
      <w:r w:rsidRPr="008F3AE0">
        <w:fldChar w:fldCharType="begin"/>
      </w:r>
      <w:r w:rsidRPr="008F3AE0">
        <w:rPr>
          <w:b/>
        </w:rPr>
        <w:instrText xml:space="preserve"> SEQ Tabuľka \* ARABIC </w:instrText>
      </w:r>
      <w:r w:rsidRPr="008F3AE0">
        <w:fldChar w:fldCharType="separate"/>
      </w:r>
      <w:r>
        <w:rPr>
          <w:b/>
          <w:noProof/>
        </w:rPr>
        <w:t>1</w:t>
      </w:r>
      <w:r w:rsidRPr="008F3AE0">
        <w:fldChar w:fldCharType="end"/>
      </w:r>
      <w:r w:rsidRPr="008F3AE0">
        <w:rPr>
          <w:b/>
        </w:rPr>
        <w:t>:</w:t>
      </w:r>
      <w:r w:rsidRPr="008F3AE0">
        <w:t xml:space="preserve"> </w:t>
      </w:r>
      <w:r w:rsidR="00FB42D9">
        <w:t>Vybrané ukazovatele demografického vývoja</w:t>
      </w:r>
      <w:bookmarkEnd w:id="43"/>
    </w:p>
    <w:tbl>
      <w:tblP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1283"/>
        <w:gridCol w:w="1284"/>
        <w:gridCol w:w="1284"/>
        <w:gridCol w:w="1284"/>
        <w:gridCol w:w="1284"/>
        <w:gridCol w:w="1284"/>
        <w:gridCol w:w="1287"/>
      </w:tblGrid>
      <w:tr w:rsidR="00FB42D9" w:rsidRPr="00775731" w14:paraId="4C5E62B2" w14:textId="77777777" w:rsidTr="003119F7">
        <w:trPr>
          <w:trHeight w:val="285"/>
        </w:trPr>
        <w:tc>
          <w:tcPr>
            <w:tcW w:w="714" w:type="pct"/>
            <w:tcBorders>
              <w:bottom w:val="single" w:sz="4" w:space="0" w:color="auto"/>
              <w:right w:val="single" w:sz="4" w:space="0" w:color="auto"/>
            </w:tcBorders>
            <w:shd w:val="clear" w:color="auto" w:fill="auto"/>
            <w:noWrap/>
            <w:vAlign w:val="bottom"/>
            <w:hideMark/>
          </w:tcPr>
          <w:p w14:paraId="6D6A749A" w14:textId="77777777" w:rsidR="00FB42D9" w:rsidRPr="00775731" w:rsidRDefault="00FB42D9" w:rsidP="003119F7">
            <w:pPr>
              <w:keepNext/>
              <w:keepLines/>
              <w:spacing w:after="0"/>
              <w:jc w:val="left"/>
              <w:rPr>
                <w:b/>
                <w:bCs w:val="0"/>
                <w:color w:val="auto"/>
                <w:sz w:val="22"/>
                <w:szCs w:val="22"/>
                <w:lang w:eastAsia="sk-SK"/>
              </w:rPr>
            </w:pPr>
          </w:p>
        </w:tc>
        <w:tc>
          <w:tcPr>
            <w:tcW w:w="714" w:type="pct"/>
            <w:tcBorders>
              <w:top w:val="double" w:sz="4" w:space="0" w:color="auto"/>
              <w:left w:val="single" w:sz="4" w:space="0" w:color="auto"/>
              <w:bottom w:val="single" w:sz="4" w:space="0" w:color="auto"/>
            </w:tcBorders>
            <w:shd w:val="clear" w:color="auto" w:fill="auto"/>
            <w:noWrap/>
            <w:vAlign w:val="bottom"/>
            <w:hideMark/>
          </w:tcPr>
          <w:p w14:paraId="28082066" w14:textId="77777777" w:rsidR="00FB42D9" w:rsidRPr="00775731" w:rsidRDefault="00FB42D9" w:rsidP="003119F7">
            <w:pPr>
              <w:keepNext/>
              <w:keepLines/>
              <w:spacing w:after="0"/>
              <w:jc w:val="center"/>
              <w:rPr>
                <w:b/>
                <w:bCs w:val="0"/>
                <w:color w:val="auto"/>
                <w:sz w:val="22"/>
                <w:szCs w:val="22"/>
                <w:lang w:eastAsia="sk-SK"/>
              </w:rPr>
            </w:pPr>
            <w:r w:rsidRPr="00775731">
              <w:rPr>
                <w:b/>
                <w:bCs w:val="0"/>
                <w:color w:val="auto"/>
                <w:sz w:val="22"/>
                <w:szCs w:val="22"/>
                <w:lang w:eastAsia="sk-SK"/>
              </w:rPr>
              <w:t>2013</w:t>
            </w:r>
          </w:p>
        </w:tc>
        <w:tc>
          <w:tcPr>
            <w:tcW w:w="714" w:type="pct"/>
            <w:tcBorders>
              <w:bottom w:val="single" w:sz="4" w:space="0" w:color="auto"/>
            </w:tcBorders>
            <w:shd w:val="clear" w:color="auto" w:fill="auto"/>
            <w:noWrap/>
            <w:vAlign w:val="bottom"/>
            <w:hideMark/>
          </w:tcPr>
          <w:p w14:paraId="5ACFA49F" w14:textId="77777777" w:rsidR="00FB42D9" w:rsidRPr="00775731" w:rsidRDefault="00FB42D9" w:rsidP="003119F7">
            <w:pPr>
              <w:keepNext/>
              <w:keepLines/>
              <w:spacing w:after="0"/>
              <w:jc w:val="center"/>
              <w:rPr>
                <w:b/>
                <w:bCs w:val="0"/>
                <w:color w:val="auto"/>
                <w:sz w:val="22"/>
                <w:szCs w:val="22"/>
                <w:lang w:eastAsia="sk-SK"/>
              </w:rPr>
            </w:pPr>
            <w:r w:rsidRPr="00775731">
              <w:rPr>
                <w:b/>
                <w:bCs w:val="0"/>
                <w:color w:val="auto"/>
                <w:sz w:val="22"/>
                <w:szCs w:val="22"/>
                <w:lang w:eastAsia="sk-SK"/>
              </w:rPr>
              <w:t>2020</w:t>
            </w:r>
          </w:p>
        </w:tc>
        <w:tc>
          <w:tcPr>
            <w:tcW w:w="714" w:type="pct"/>
            <w:tcBorders>
              <w:bottom w:val="single" w:sz="4" w:space="0" w:color="auto"/>
            </w:tcBorders>
            <w:shd w:val="clear" w:color="auto" w:fill="auto"/>
            <w:noWrap/>
            <w:vAlign w:val="bottom"/>
            <w:hideMark/>
          </w:tcPr>
          <w:p w14:paraId="6AEB511C" w14:textId="77777777" w:rsidR="00FB42D9" w:rsidRPr="00775731" w:rsidRDefault="00FB42D9" w:rsidP="003119F7">
            <w:pPr>
              <w:keepNext/>
              <w:keepLines/>
              <w:spacing w:after="0"/>
              <w:jc w:val="center"/>
              <w:rPr>
                <w:b/>
                <w:bCs w:val="0"/>
                <w:color w:val="auto"/>
                <w:sz w:val="22"/>
                <w:szCs w:val="22"/>
                <w:lang w:eastAsia="sk-SK"/>
              </w:rPr>
            </w:pPr>
            <w:r w:rsidRPr="00775731">
              <w:rPr>
                <w:b/>
                <w:bCs w:val="0"/>
                <w:color w:val="auto"/>
                <w:sz w:val="22"/>
                <w:szCs w:val="22"/>
                <w:lang w:eastAsia="sk-SK"/>
              </w:rPr>
              <w:t>2030</w:t>
            </w:r>
          </w:p>
        </w:tc>
        <w:tc>
          <w:tcPr>
            <w:tcW w:w="714" w:type="pct"/>
            <w:tcBorders>
              <w:bottom w:val="single" w:sz="4" w:space="0" w:color="auto"/>
            </w:tcBorders>
            <w:shd w:val="clear" w:color="auto" w:fill="auto"/>
            <w:noWrap/>
            <w:vAlign w:val="bottom"/>
            <w:hideMark/>
          </w:tcPr>
          <w:p w14:paraId="609387D8" w14:textId="77777777" w:rsidR="00FB42D9" w:rsidRPr="00775731" w:rsidRDefault="00FB42D9" w:rsidP="003119F7">
            <w:pPr>
              <w:keepNext/>
              <w:keepLines/>
              <w:spacing w:after="0"/>
              <w:jc w:val="center"/>
              <w:rPr>
                <w:b/>
                <w:bCs w:val="0"/>
                <w:color w:val="auto"/>
                <w:sz w:val="22"/>
                <w:szCs w:val="22"/>
                <w:lang w:eastAsia="sk-SK"/>
              </w:rPr>
            </w:pPr>
            <w:r w:rsidRPr="00775731">
              <w:rPr>
                <w:b/>
                <w:bCs w:val="0"/>
                <w:color w:val="auto"/>
                <w:sz w:val="22"/>
                <w:szCs w:val="22"/>
                <w:lang w:eastAsia="sk-SK"/>
              </w:rPr>
              <w:t>2040</w:t>
            </w:r>
          </w:p>
        </w:tc>
        <w:tc>
          <w:tcPr>
            <w:tcW w:w="714" w:type="pct"/>
            <w:tcBorders>
              <w:bottom w:val="single" w:sz="4" w:space="0" w:color="auto"/>
            </w:tcBorders>
            <w:shd w:val="clear" w:color="auto" w:fill="auto"/>
            <w:noWrap/>
            <w:vAlign w:val="bottom"/>
            <w:hideMark/>
          </w:tcPr>
          <w:p w14:paraId="16CF603C" w14:textId="77777777" w:rsidR="00FB42D9" w:rsidRPr="00775731" w:rsidRDefault="00FB42D9" w:rsidP="003119F7">
            <w:pPr>
              <w:keepNext/>
              <w:keepLines/>
              <w:spacing w:after="0"/>
              <w:jc w:val="center"/>
              <w:rPr>
                <w:b/>
                <w:bCs w:val="0"/>
                <w:color w:val="auto"/>
                <w:sz w:val="22"/>
                <w:szCs w:val="22"/>
                <w:lang w:eastAsia="sk-SK"/>
              </w:rPr>
            </w:pPr>
            <w:r w:rsidRPr="00775731">
              <w:rPr>
                <w:b/>
                <w:bCs w:val="0"/>
                <w:color w:val="auto"/>
                <w:sz w:val="22"/>
                <w:szCs w:val="22"/>
                <w:lang w:eastAsia="sk-SK"/>
              </w:rPr>
              <w:t>2050</w:t>
            </w:r>
          </w:p>
        </w:tc>
        <w:tc>
          <w:tcPr>
            <w:tcW w:w="716" w:type="pct"/>
            <w:tcBorders>
              <w:bottom w:val="single" w:sz="4" w:space="0" w:color="auto"/>
            </w:tcBorders>
            <w:shd w:val="clear" w:color="auto" w:fill="auto"/>
            <w:noWrap/>
            <w:vAlign w:val="bottom"/>
            <w:hideMark/>
          </w:tcPr>
          <w:p w14:paraId="2CAB8D74" w14:textId="77777777" w:rsidR="00FB42D9" w:rsidRPr="00775731" w:rsidRDefault="00FB42D9" w:rsidP="003119F7">
            <w:pPr>
              <w:keepNext/>
              <w:keepLines/>
              <w:spacing w:after="0"/>
              <w:jc w:val="center"/>
              <w:rPr>
                <w:b/>
                <w:bCs w:val="0"/>
                <w:color w:val="auto"/>
                <w:sz w:val="22"/>
                <w:szCs w:val="22"/>
                <w:lang w:eastAsia="sk-SK"/>
              </w:rPr>
            </w:pPr>
            <w:r w:rsidRPr="00775731">
              <w:rPr>
                <w:b/>
                <w:bCs w:val="0"/>
                <w:color w:val="auto"/>
                <w:sz w:val="22"/>
                <w:szCs w:val="22"/>
                <w:lang w:eastAsia="sk-SK"/>
              </w:rPr>
              <w:t>2060</w:t>
            </w:r>
          </w:p>
        </w:tc>
      </w:tr>
      <w:tr w:rsidR="00FB42D9" w:rsidRPr="00775731" w14:paraId="298E2B07" w14:textId="77777777" w:rsidTr="003119F7">
        <w:trPr>
          <w:trHeight w:val="285"/>
        </w:trPr>
        <w:tc>
          <w:tcPr>
            <w:tcW w:w="714" w:type="pct"/>
            <w:tcBorders>
              <w:top w:val="single" w:sz="4" w:space="0" w:color="auto"/>
              <w:bottom w:val="single" w:sz="4" w:space="0" w:color="auto"/>
              <w:right w:val="single" w:sz="4" w:space="0" w:color="auto"/>
            </w:tcBorders>
            <w:shd w:val="clear" w:color="auto" w:fill="auto"/>
            <w:noWrap/>
            <w:vAlign w:val="bottom"/>
          </w:tcPr>
          <w:p w14:paraId="5BFD3269" w14:textId="77777777" w:rsidR="00FB42D9" w:rsidRPr="00775731" w:rsidRDefault="00FB42D9" w:rsidP="003119F7">
            <w:pPr>
              <w:keepNext/>
              <w:keepLines/>
              <w:spacing w:after="0"/>
              <w:jc w:val="left"/>
              <w:rPr>
                <w:bCs w:val="0"/>
                <w:color w:val="auto"/>
                <w:sz w:val="22"/>
                <w:szCs w:val="22"/>
                <w:lang w:eastAsia="sk-SK"/>
              </w:rPr>
            </w:pPr>
          </w:p>
        </w:tc>
        <w:tc>
          <w:tcPr>
            <w:tcW w:w="4286" w:type="pct"/>
            <w:gridSpan w:val="6"/>
            <w:tcBorders>
              <w:top w:val="single" w:sz="4" w:space="0" w:color="auto"/>
              <w:left w:val="single" w:sz="4" w:space="0" w:color="auto"/>
              <w:bottom w:val="single" w:sz="4" w:space="0" w:color="auto"/>
            </w:tcBorders>
            <w:shd w:val="clear" w:color="auto" w:fill="auto"/>
            <w:noWrap/>
            <w:vAlign w:val="bottom"/>
          </w:tcPr>
          <w:p w14:paraId="1B83C7A1" w14:textId="77777777" w:rsidR="00FB42D9" w:rsidRPr="00775731" w:rsidRDefault="00FB42D9" w:rsidP="003119F7">
            <w:pPr>
              <w:keepNext/>
              <w:keepLines/>
              <w:spacing w:after="0"/>
              <w:jc w:val="center"/>
              <w:rPr>
                <w:bCs w:val="0"/>
                <w:i/>
                <w:color w:val="auto"/>
                <w:sz w:val="22"/>
                <w:szCs w:val="22"/>
                <w:lang w:eastAsia="sk-SK"/>
              </w:rPr>
            </w:pPr>
            <w:r w:rsidRPr="00775731">
              <w:rPr>
                <w:bCs w:val="0"/>
                <w:i/>
                <w:color w:val="auto"/>
                <w:sz w:val="22"/>
                <w:szCs w:val="22"/>
                <w:lang w:eastAsia="sk-SK"/>
              </w:rPr>
              <w:t>počet pracujúcich na 1 dôchodcu</w:t>
            </w:r>
          </w:p>
        </w:tc>
      </w:tr>
      <w:tr w:rsidR="00FB42D9" w:rsidRPr="00775731" w14:paraId="79DDEAF4" w14:textId="77777777" w:rsidTr="003119F7">
        <w:trPr>
          <w:trHeight w:val="285"/>
        </w:trPr>
        <w:tc>
          <w:tcPr>
            <w:tcW w:w="714" w:type="pct"/>
            <w:tcBorders>
              <w:top w:val="single" w:sz="4" w:space="0" w:color="auto"/>
              <w:right w:val="single" w:sz="4" w:space="0" w:color="auto"/>
            </w:tcBorders>
            <w:shd w:val="clear" w:color="auto" w:fill="auto"/>
            <w:noWrap/>
            <w:vAlign w:val="bottom"/>
            <w:hideMark/>
          </w:tcPr>
          <w:p w14:paraId="4E158695"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EU28</w:t>
            </w:r>
          </w:p>
        </w:tc>
        <w:tc>
          <w:tcPr>
            <w:tcW w:w="714" w:type="pct"/>
            <w:tcBorders>
              <w:top w:val="single" w:sz="4" w:space="0" w:color="auto"/>
              <w:left w:val="single" w:sz="4" w:space="0" w:color="auto"/>
              <w:bottom w:val="nil"/>
            </w:tcBorders>
            <w:shd w:val="clear" w:color="auto" w:fill="auto"/>
            <w:noWrap/>
            <w:vAlign w:val="bottom"/>
            <w:hideMark/>
          </w:tcPr>
          <w:p w14:paraId="2AD8D035"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1,63</w:t>
            </w:r>
          </w:p>
        </w:tc>
        <w:tc>
          <w:tcPr>
            <w:tcW w:w="714" w:type="pct"/>
            <w:tcBorders>
              <w:top w:val="single" w:sz="4" w:space="0" w:color="auto"/>
            </w:tcBorders>
            <w:shd w:val="clear" w:color="auto" w:fill="auto"/>
            <w:noWrap/>
            <w:vAlign w:val="bottom"/>
            <w:hideMark/>
          </w:tcPr>
          <w:p w14:paraId="5AB83F12"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1,61</w:t>
            </w:r>
          </w:p>
        </w:tc>
        <w:tc>
          <w:tcPr>
            <w:tcW w:w="714" w:type="pct"/>
            <w:tcBorders>
              <w:top w:val="single" w:sz="4" w:space="0" w:color="auto"/>
            </w:tcBorders>
            <w:shd w:val="clear" w:color="auto" w:fill="auto"/>
            <w:noWrap/>
            <w:vAlign w:val="bottom"/>
            <w:hideMark/>
          </w:tcPr>
          <w:p w14:paraId="695869C2"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1,46</w:t>
            </w:r>
          </w:p>
        </w:tc>
        <w:tc>
          <w:tcPr>
            <w:tcW w:w="714" w:type="pct"/>
            <w:tcBorders>
              <w:top w:val="single" w:sz="4" w:space="0" w:color="auto"/>
            </w:tcBorders>
            <w:shd w:val="clear" w:color="auto" w:fill="auto"/>
            <w:noWrap/>
            <w:vAlign w:val="bottom"/>
            <w:hideMark/>
          </w:tcPr>
          <w:p w14:paraId="7FDE179B"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1,32</w:t>
            </w:r>
          </w:p>
        </w:tc>
        <w:tc>
          <w:tcPr>
            <w:tcW w:w="714" w:type="pct"/>
            <w:tcBorders>
              <w:top w:val="single" w:sz="4" w:space="0" w:color="auto"/>
            </w:tcBorders>
            <w:shd w:val="clear" w:color="auto" w:fill="auto"/>
            <w:noWrap/>
            <w:vAlign w:val="bottom"/>
            <w:hideMark/>
          </w:tcPr>
          <w:p w14:paraId="063C973D"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1,27</w:t>
            </w:r>
          </w:p>
        </w:tc>
        <w:tc>
          <w:tcPr>
            <w:tcW w:w="716" w:type="pct"/>
            <w:tcBorders>
              <w:top w:val="single" w:sz="4" w:space="0" w:color="auto"/>
            </w:tcBorders>
            <w:shd w:val="clear" w:color="auto" w:fill="auto"/>
            <w:noWrap/>
            <w:vAlign w:val="bottom"/>
            <w:hideMark/>
          </w:tcPr>
          <w:p w14:paraId="5D82B170"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1,29</w:t>
            </w:r>
          </w:p>
        </w:tc>
      </w:tr>
      <w:tr w:rsidR="00FB42D9" w:rsidRPr="00775731" w14:paraId="20994ED1" w14:textId="77777777" w:rsidTr="003119F7">
        <w:trPr>
          <w:trHeight w:val="285"/>
        </w:trPr>
        <w:tc>
          <w:tcPr>
            <w:tcW w:w="714" w:type="pct"/>
            <w:tcBorders>
              <w:right w:val="single" w:sz="4" w:space="0" w:color="auto"/>
            </w:tcBorders>
            <w:shd w:val="clear" w:color="auto" w:fill="auto"/>
            <w:noWrap/>
            <w:vAlign w:val="bottom"/>
            <w:hideMark/>
          </w:tcPr>
          <w:p w14:paraId="518B879A"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SK</w:t>
            </w:r>
          </w:p>
        </w:tc>
        <w:tc>
          <w:tcPr>
            <w:tcW w:w="714" w:type="pct"/>
            <w:tcBorders>
              <w:top w:val="nil"/>
              <w:left w:val="single" w:sz="4" w:space="0" w:color="auto"/>
              <w:bottom w:val="nil"/>
            </w:tcBorders>
            <w:shd w:val="clear" w:color="auto" w:fill="auto"/>
            <w:noWrap/>
            <w:vAlign w:val="bottom"/>
            <w:hideMark/>
          </w:tcPr>
          <w:p w14:paraId="70DE0D9D"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1,75</w:t>
            </w:r>
          </w:p>
        </w:tc>
        <w:tc>
          <w:tcPr>
            <w:tcW w:w="714" w:type="pct"/>
            <w:shd w:val="clear" w:color="auto" w:fill="auto"/>
            <w:noWrap/>
            <w:vAlign w:val="bottom"/>
            <w:hideMark/>
          </w:tcPr>
          <w:p w14:paraId="11BD24BE"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1,57</w:t>
            </w:r>
          </w:p>
        </w:tc>
        <w:tc>
          <w:tcPr>
            <w:tcW w:w="714" w:type="pct"/>
            <w:shd w:val="clear" w:color="auto" w:fill="auto"/>
            <w:noWrap/>
            <w:vAlign w:val="bottom"/>
            <w:hideMark/>
          </w:tcPr>
          <w:p w14:paraId="2037454C"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1,38</w:t>
            </w:r>
          </w:p>
        </w:tc>
        <w:tc>
          <w:tcPr>
            <w:tcW w:w="714" w:type="pct"/>
            <w:shd w:val="clear" w:color="auto" w:fill="auto"/>
            <w:noWrap/>
            <w:vAlign w:val="bottom"/>
            <w:hideMark/>
          </w:tcPr>
          <w:p w14:paraId="036A37E6"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1,24</w:t>
            </w:r>
          </w:p>
        </w:tc>
        <w:tc>
          <w:tcPr>
            <w:tcW w:w="714" w:type="pct"/>
            <w:shd w:val="clear" w:color="auto" w:fill="auto"/>
            <w:noWrap/>
            <w:vAlign w:val="bottom"/>
            <w:hideMark/>
          </w:tcPr>
          <w:p w14:paraId="1CEF2A6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1,07</w:t>
            </w:r>
          </w:p>
        </w:tc>
        <w:tc>
          <w:tcPr>
            <w:tcW w:w="716" w:type="pct"/>
            <w:shd w:val="clear" w:color="auto" w:fill="auto"/>
            <w:noWrap/>
            <w:vAlign w:val="bottom"/>
            <w:hideMark/>
          </w:tcPr>
          <w:p w14:paraId="1E398B14"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0,98</w:t>
            </w:r>
          </w:p>
        </w:tc>
      </w:tr>
      <w:tr w:rsidR="00FB42D9" w:rsidRPr="00775731" w14:paraId="6A35A679" w14:textId="77777777" w:rsidTr="003119F7">
        <w:trPr>
          <w:trHeight w:val="285"/>
        </w:trPr>
        <w:tc>
          <w:tcPr>
            <w:tcW w:w="714" w:type="pct"/>
            <w:tcBorders>
              <w:right w:val="single" w:sz="4" w:space="0" w:color="auto"/>
            </w:tcBorders>
            <w:shd w:val="clear" w:color="auto" w:fill="auto"/>
            <w:noWrap/>
            <w:vAlign w:val="bottom"/>
            <w:hideMark/>
          </w:tcPr>
          <w:p w14:paraId="34716585"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CZ</w:t>
            </w:r>
          </w:p>
        </w:tc>
        <w:tc>
          <w:tcPr>
            <w:tcW w:w="714" w:type="pct"/>
            <w:tcBorders>
              <w:top w:val="nil"/>
              <w:left w:val="single" w:sz="4" w:space="0" w:color="auto"/>
              <w:bottom w:val="nil"/>
            </w:tcBorders>
            <w:shd w:val="clear" w:color="auto" w:fill="auto"/>
            <w:noWrap/>
            <w:vAlign w:val="bottom"/>
            <w:hideMark/>
          </w:tcPr>
          <w:p w14:paraId="7D505EA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1,71</w:t>
            </w:r>
          </w:p>
        </w:tc>
        <w:tc>
          <w:tcPr>
            <w:tcW w:w="714" w:type="pct"/>
            <w:shd w:val="clear" w:color="auto" w:fill="auto"/>
            <w:noWrap/>
            <w:vAlign w:val="bottom"/>
            <w:hideMark/>
          </w:tcPr>
          <w:p w14:paraId="0F4B32FD"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1,70</w:t>
            </w:r>
          </w:p>
        </w:tc>
        <w:tc>
          <w:tcPr>
            <w:tcW w:w="714" w:type="pct"/>
            <w:shd w:val="clear" w:color="auto" w:fill="auto"/>
            <w:noWrap/>
            <w:vAlign w:val="bottom"/>
            <w:hideMark/>
          </w:tcPr>
          <w:p w14:paraId="52EFC7FC"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1,60</w:t>
            </w:r>
          </w:p>
        </w:tc>
        <w:tc>
          <w:tcPr>
            <w:tcW w:w="714" w:type="pct"/>
            <w:shd w:val="clear" w:color="auto" w:fill="auto"/>
            <w:noWrap/>
            <w:vAlign w:val="bottom"/>
            <w:hideMark/>
          </w:tcPr>
          <w:p w14:paraId="53D7F19A"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1,52</w:t>
            </w:r>
          </w:p>
        </w:tc>
        <w:tc>
          <w:tcPr>
            <w:tcW w:w="714" w:type="pct"/>
            <w:shd w:val="clear" w:color="auto" w:fill="auto"/>
            <w:noWrap/>
            <w:vAlign w:val="bottom"/>
            <w:hideMark/>
          </w:tcPr>
          <w:p w14:paraId="1E5C7FBB"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1,42</w:t>
            </w:r>
          </w:p>
        </w:tc>
        <w:tc>
          <w:tcPr>
            <w:tcW w:w="716" w:type="pct"/>
            <w:shd w:val="clear" w:color="auto" w:fill="auto"/>
            <w:noWrap/>
            <w:vAlign w:val="bottom"/>
            <w:hideMark/>
          </w:tcPr>
          <w:p w14:paraId="5D9CFA28"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1,42</w:t>
            </w:r>
          </w:p>
        </w:tc>
      </w:tr>
      <w:tr w:rsidR="00FB42D9" w:rsidRPr="00775731" w14:paraId="27403877" w14:textId="77777777" w:rsidTr="003119F7">
        <w:trPr>
          <w:trHeight w:val="300"/>
        </w:trPr>
        <w:tc>
          <w:tcPr>
            <w:tcW w:w="714" w:type="pct"/>
            <w:tcBorders>
              <w:right w:val="single" w:sz="4" w:space="0" w:color="auto"/>
            </w:tcBorders>
            <w:shd w:val="clear" w:color="auto" w:fill="auto"/>
            <w:noWrap/>
            <w:vAlign w:val="bottom"/>
            <w:hideMark/>
          </w:tcPr>
          <w:p w14:paraId="274056E9"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HU</w:t>
            </w:r>
          </w:p>
        </w:tc>
        <w:tc>
          <w:tcPr>
            <w:tcW w:w="714" w:type="pct"/>
            <w:tcBorders>
              <w:top w:val="nil"/>
              <w:left w:val="single" w:sz="4" w:space="0" w:color="auto"/>
              <w:bottom w:val="nil"/>
            </w:tcBorders>
            <w:shd w:val="clear" w:color="auto" w:fill="auto"/>
            <w:noWrap/>
            <w:vAlign w:val="bottom"/>
            <w:hideMark/>
          </w:tcPr>
          <w:p w14:paraId="6A52F226"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1,42</w:t>
            </w:r>
          </w:p>
        </w:tc>
        <w:tc>
          <w:tcPr>
            <w:tcW w:w="714" w:type="pct"/>
            <w:shd w:val="clear" w:color="auto" w:fill="auto"/>
            <w:noWrap/>
            <w:vAlign w:val="bottom"/>
            <w:hideMark/>
          </w:tcPr>
          <w:p w14:paraId="0B207CEA"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1,63</w:t>
            </w:r>
          </w:p>
        </w:tc>
        <w:tc>
          <w:tcPr>
            <w:tcW w:w="714" w:type="pct"/>
            <w:shd w:val="clear" w:color="auto" w:fill="auto"/>
            <w:noWrap/>
            <w:vAlign w:val="bottom"/>
            <w:hideMark/>
          </w:tcPr>
          <w:p w14:paraId="7864E01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1,61</w:t>
            </w:r>
          </w:p>
        </w:tc>
        <w:tc>
          <w:tcPr>
            <w:tcW w:w="714" w:type="pct"/>
            <w:shd w:val="clear" w:color="auto" w:fill="auto"/>
            <w:noWrap/>
            <w:vAlign w:val="bottom"/>
            <w:hideMark/>
          </w:tcPr>
          <w:p w14:paraId="50F4DBD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1,43</w:t>
            </w:r>
          </w:p>
        </w:tc>
        <w:tc>
          <w:tcPr>
            <w:tcW w:w="714" w:type="pct"/>
            <w:shd w:val="clear" w:color="auto" w:fill="auto"/>
            <w:noWrap/>
            <w:vAlign w:val="bottom"/>
            <w:hideMark/>
          </w:tcPr>
          <w:p w14:paraId="5CA1D3A4"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1,26</w:t>
            </w:r>
          </w:p>
        </w:tc>
        <w:tc>
          <w:tcPr>
            <w:tcW w:w="716" w:type="pct"/>
            <w:shd w:val="clear" w:color="auto" w:fill="auto"/>
            <w:noWrap/>
            <w:vAlign w:val="bottom"/>
            <w:hideMark/>
          </w:tcPr>
          <w:p w14:paraId="474117F0"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1,16</w:t>
            </w:r>
          </w:p>
        </w:tc>
      </w:tr>
      <w:tr w:rsidR="00FB42D9" w:rsidRPr="00775731" w14:paraId="27CDF93B" w14:textId="77777777" w:rsidTr="003119F7">
        <w:trPr>
          <w:trHeight w:val="285"/>
        </w:trPr>
        <w:tc>
          <w:tcPr>
            <w:tcW w:w="714" w:type="pct"/>
            <w:tcBorders>
              <w:bottom w:val="single" w:sz="4" w:space="0" w:color="auto"/>
              <w:right w:val="single" w:sz="4" w:space="0" w:color="auto"/>
            </w:tcBorders>
            <w:shd w:val="clear" w:color="auto" w:fill="auto"/>
            <w:noWrap/>
            <w:vAlign w:val="bottom"/>
            <w:hideMark/>
          </w:tcPr>
          <w:p w14:paraId="65C304BF"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PL</w:t>
            </w:r>
          </w:p>
        </w:tc>
        <w:tc>
          <w:tcPr>
            <w:tcW w:w="714" w:type="pct"/>
            <w:tcBorders>
              <w:top w:val="nil"/>
              <w:left w:val="single" w:sz="4" w:space="0" w:color="auto"/>
              <w:bottom w:val="single" w:sz="4" w:space="0" w:color="auto"/>
            </w:tcBorders>
            <w:shd w:val="clear" w:color="auto" w:fill="auto"/>
            <w:noWrap/>
            <w:vAlign w:val="bottom"/>
            <w:hideMark/>
          </w:tcPr>
          <w:p w14:paraId="0599F339"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1,73</w:t>
            </w:r>
          </w:p>
        </w:tc>
        <w:tc>
          <w:tcPr>
            <w:tcW w:w="714" w:type="pct"/>
            <w:tcBorders>
              <w:bottom w:val="single" w:sz="4" w:space="0" w:color="auto"/>
            </w:tcBorders>
            <w:shd w:val="clear" w:color="auto" w:fill="auto"/>
            <w:noWrap/>
            <w:vAlign w:val="bottom"/>
            <w:hideMark/>
          </w:tcPr>
          <w:p w14:paraId="7E149165"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1,72</w:t>
            </w:r>
          </w:p>
        </w:tc>
        <w:tc>
          <w:tcPr>
            <w:tcW w:w="714" w:type="pct"/>
            <w:tcBorders>
              <w:bottom w:val="single" w:sz="4" w:space="0" w:color="auto"/>
            </w:tcBorders>
            <w:shd w:val="clear" w:color="auto" w:fill="auto"/>
            <w:noWrap/>
            <w:vAlign w:val="bottom"/>
            <w:hideMark/>
          </w:tcPr>
          <w:p w14:paraId="761AB8AA"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1,57</w:t>
            </w:r>
          </w:p>
        </w:tc>
        <w:tc>
          <w:tcPr>
            <w:tcW w:w="714" w:type="pct"/>
            <w:tcBorders>
              <w:bottom w:val="single" w:sz="4" w:space="0" w:color="auto"/>
            </w:tcBorders>
            <w:shd w:val="clear" w:color="auto" w:fill="auto"/>
            <w:noWrap/>
            <w:vAlign w:val="bottom"/>
            <w:hideMark/>
          </w:tcPr>
          <w:p w14:paraId="7A2B3E07"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1,50</w:t>
            </w:r>
          </w:p>
        </w:tc>
        <w:tc>
          <w:tcPr>
            <w:tcW w:w="714" w:type="pct"/>
            <w:tcBorders>
              <w:bottom w:val="single" w:sz="4" w:space="0" w:color="auto"/>
            </w:tcBorders>
            <w:shd w:val="clear" w:color="auto" w:fill="auto"/>
            <w:noWrap/>
            <w:vAlign w:val="bottom"/>
            <w:hideMark/>
          </w:tcPr>
          <w:p w14:paraId="67F77E83"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1,40</w:t>
            </w:r>
          </w:p>
        </w:tc>
        <w:tc>
          <w:tcPr>
            <w:tcW w:w="716" w:type="pct"/>
            <w:tcBorders>
              <w:bottom w:val="single" w:sz="4" w:space="0" w:color="auto"/>
            </w:tcBorders>
            <w:shd w:val="clear" w:color="auto" w:fill="auto"/>
            <w:noWrap/>
            <w:vAlign w:val="bottom"/>
            <w:hideMark/>
          </w:tcPr>
          <w:p w14:paraId="1CBD5E0E"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1,11</w:t>
            </w:r>
          </w:p>
        </w:tc>
      </w:tr>
      <w:tr w:rsidR="00FB42D9" w:rsidRPr="00775731" w14:paraId="54EB5A75" w14:textId="77777777" w:rsidTr="003119F7">
        <w:trPr>
          <w:trHeight w:val="285"/>
        </w:trPr>
        <w:tc>
          <w:tcPr>
            <w:tcW w:w="714" w:type="pct"/>
            <w:tcBorders>
              <w:top w:val="single" w:sz="4" w:space="0" w:color="auto"/>
              <w:bottom w:val="single" w:sz="4" w:space="0" w:color="auto"/>
              <w:right w:val="single" w:sz="4" w:space="0" w:color="auto"/>
            </w:tcBorders>
            <w:shd w:val="clear" w:color="auto" w:fill="auto"/>
            <w:noWrap/>
            <w:vAlign w:val="bottom"/>
            <w:hideMark/>
          </w:tcPr>
          <w:p w14:paraId="23DF247A"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 xml:space="preserve"> </w:t>
            </w:r>
          </w:p>
        </w:tc>
        <w:tc>
          <w:tcPr>
            <w:tcW w:w="4286" w:type="pct"/>
            <w:gridSpan w:val="6"/>
            <w:tcBorders>
              <w:top w:val="single" w:sz="4" w:space="0" w:color="auto"/>
              <w:left w:val="single" w:sz="4" w:space="0" w:color="auto"/>
              <w:bottom w:val="single" w:sz="4" w:space="0" w:color="auto"/>
            </w:tcBorders>
            <w:shd w:val="clear" w:color="auto" w:fill="auto"/>
            <w:noWrap/>
            <w:vAlign w:val="bottom"/>
          </w:tcPr>
          <w:p w14:paraId="42872035" w14:textId="77777777" w:rsidR="00FB42D9" w:rsidRPr="00775731" w:rsidRDefault="00FB42D9" w:rsidP="003119F7">
            <w:pPr>
              <w:keepNext/>
              <w:keepLines/>
              <w:spacing w:after="0"/>
              <w:jc w:val="center"/>
              <w:rPr>
                <w:bCs w:val="0"/>
                <w:i/>
                <w:color w:val="auto"/>
                <w:sz w:val="22"/>
                <w:szCs w:val="22"/>
                <w:lang w:eastAsia="sk-SK"/>
              </w:rPr>
            </w:pPr>
            <w:r w:rsidRPr="00775731">
              <w:rPr>
                <w:bCs w:val="0"/>
                <w:i/>
                <w:color w:val="auto"/>
                <w:sz w:val="22"/>
                <w:szCs w:val="22"/>
                <w:lang w:eastAsia="sk-SK"/>
              </w:rPr>
              <w:t>podiel populácie vo veku 15-64 rokov na celkovej populácii, %</w:t>
            </w:r>
          </w:p>
        </w:tc>
      </w:tr>
      <w:tr w:rsidR="00FB42D9" w:rsidRPr="00775731" w14:paraId="7E8A6799" w14:textId="77777777" w:rsidTr="003119F7">
        <w:trPr>
          <w:trHeight w:val="285"/>
        </w:trPr>
        <w:tc>
          <w:tcPr>
            <w:tcW w:w="714" w:type="pct"/>
            <w:tcBorders>
              <w:top w:val="single" w:sz="4" w:space="0" w:color="auto"/>
              <w:right w:val="single" w:sz="4" w:space="0" w:color="auto"/>
            </w:tcBorders>
            <w:shd w:val="clear" w:color="auto" w:fill="auto"/>
            <w:noWrap/>
            <w:vAlign w:val="bottom"/>
            <w:hideMark/>
          </w:tcPr>
          <w:p w14:paraId="63FA2619"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EU28</w:t>
            </w:r>
          </w:p>
        </w:tc>
        <w:tc>
          <w:tcPr>
            <w:tcW w:w="714" w:type="pct"/>
            <w:tcBorders>
              <w:top w:val="single" w:sz="4" w:space="0" w:color="auto"/>
              <w:left w:val="single" w:sz="4" w:space="0" w:color="auto"/>
              <w:bottom w:val="nil"/>
            </w:tcBorders>
            <w:shd w:val="clear" w:color="auto" w:fill="auto"/>
            <w:noWrap/>
            <w:vAlign w:val="bottom"/>
            <w:hideMark/>
          </w:tcPr>
          <w:p w14:paraId="0E9486FE"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66,0</w:t>
            </w:r>
          </w:p>
        </w:tc>
        <w:tc>
          <w:tcPr>
            <w:tcW w:w="714" w:type="pct"/>
            <w:tcBorders>
              <w:top w:val="single" w:sz="4" w:space="0" w:color="auto"/>
            </w:tcBorders>
            <w:shd w:val="clear" w:color="auto" w:fill="auto"/>
            <w:noWrap/>
            <w:vAlign w:val="bottom"/>
            <w:hideMark/>
          </w:tcPr>
          <w:p w14:paraId="730B860D"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63,9</w:t>
            </w:r>
          </w:p>
        </w:tc>
        <w:tc>
          <w:tcPr>
            <w:tcW w:w="714" w:type="pct"/>
            <w:tcBorders>
              <w:top w:val="single" w:sz="4" w:space="0" w:color="auto"/>
            </w:tcBorders>
            <w:shd w:val="clear" w:color="auto" w:fill="auto"/>
            <w:noWrap/>
            <w:vAlign w:val="bottom"/>
            <w:hideMark/>
          </w:tcPr>
          <w:p w14:paraId="1C22A16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61,1</w:t>
            </w:r>
          </w:p>
        </w:tc>
        <w:tc>
          <w:tcPr>
            <w:tcW w:w="714" w:type="pct"/>
            <w:tcBorders>
              <w:top w:val="single" w:sz="4" w:space="0" w:color="auto"/>
            </w:tcBorders>
            <w:shd w:val="clear" w:color="auto" w:fill="auto"/>
            <w:noWrap/>
            <w:vAlign w:val="bottom"/>
            <w:hideMark/>
          </w:tcPr>
          <w:p w14:paraId="7795B51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58,4</w:t>
            </w:r>
          </w:p>
        </w:tc>
        <w:tc>
          <w:tcPr>
            <w:tcW w:w="714" w:type="pct"/>
            <w:tcBorders>
              <w:top w:val="single" w:sz="4" w:space="0" w:color="auto"/>
            </w:tcBorders>
            <w:shd w:val="clear" w:color="auto" w:fill="auto"/>
            <w:noWrap/>
            <w:vAlign w:val="bottom"/>
            <w:hideMark/>
          </w:tcPr>
          <w:p w14:paraId="45503B2C"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56,9</w:t>
            </w:r>
          </w:p>
        </w:tc>
        <w:tc>
          <w:tcPr>
            <w:tcW w:w="716" w:type="pct"/>
            <w:tcBorders>
              <w:top w:val="single" w:sz="4" w:space="0" w:color="auto"/>
            </w:tcBorders>
            <w:shd w:val="clear" w:color="auto" w:fill="auto"/>
            <w:noWrap/>
            <w:vAlign w:val="bottom"/>
            <w:hideMark/>
          </w:tcPr>
          <w:p w14:paraId="31FAD356"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56,6</w:t>
            </w:r>
          </w:p>
        </w:tc>
      </w:tr>
      <w:tr w:rsidR="00FB42D9" w:rsidRPr="00775731" w14:paraId="7A0AA78D" w14:textId="77777777" w:rsidTr="003119F7">
        <w:trPr>
          <w:trHeight w:val="285"/>
        </w:trPr>
        <w:tc>
          <w:tcPr>
            <w:tcW w:w="714" w:type="pct"/>
            <w:tcBorders>
              <w:right w:val="single" w:sz="4" w:space="0" w:color="auto"/>
            </w:tcBorders>
            <w:shd w:val="clear" w:color="auto" w:fill="auto"/>
            <w:noWrap/>
            <w:vAlign w:val="bottom"/>
            <w:hideMark/>
          </w:tcPr>
          <w:p w14:paraId="1EB5653A"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SK</w:t>
            </w:r>
          </w:p>
        </w:tc>
        <w:tc>
          <w:tcPr>
            <w:tcW w:w="714" w:type="pct"/>
            <w:tcBorders>
              <w:top w:val="nil"/>
              <w:left w:val="single" w:sz="4" w:space="0" w:color="auto"/>
              <w:bottom w:val="nil"/>
            </w:tcBorders>
            <w:shd w:val="clear" w:color="auto" w:fill="auto"/>
            <w:noWrap/>
            <w:vAlign w:val="bottom"/>
            <w:hideMark/>
          </w:tcPr>
          <w:p w14:paraId="2FF9134D"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71,4</w:t>
            </w:r>
          </w:p>
        </w:tc>
        <w:tc>
          <w:tcPr>
            <w:tcW w:w="714" w:type="pct"/>
            <w:shd w:val="clear" w:color="auto" w:fill="auto"/>
            <w:noWrap/>
            <w:vAlign w:val="bottom"/>
            <w:hideMark/>
          </w:tcPr>
          <w:p w14:paraId="0166316A"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68,1</w:t>
            </w:r>
          </w:p>
        </w:tc>
        <w:tc>
          <w:tcPr>
            <w:tcW w:w="714" w:type="pct"/>
            <w:shd w:val="clear" w:color="auto" w:fill="auto"/>
            <w:noWrap/>
            <w:vAlign w:val="bottom"/>
            <w:hideMark/>
          </w:tcPr>
          <w:p w14:paraId="48826B13"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65,6</w:t>
            </w:r>
          </w:p>
        </w:tc>
        <w:tc>
          <w:tcPr>
            <w:tcW w:w="714" w:type="pct"/>
            <w:shd w:val="clear" w:color="auto" w:fill="auto"/>
            <w:noWrap/>
            <w:vAlign w:val="bottom"/>
            <w:hideMark/>
          </w:tcPr>
          <w:p w14:paraId="4E52A14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62,8</w:t>
            </w:r>
          </w:p>
        </w:tc>
        <w:tc>
          <w:tcPr>
            <w:tcW w:w="714" w:type="pct"/>
            <w:shd w:val="clear" w:color="auto" w:fill="auto"/>
            <w:noWrap/>
            <w:vAlign w:val="bottom"/>
            <w:hideMark/>
          </w:tcPr>
          <w:p w14:paraId="53010863"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56,9</w:t>
            </w:r>
          </w:p>
        </w:tc>
        <w:tc>
          <w:tcPr>
            <w:tcW w:w="716" w:type="pct"/>
            <w:shd w:val="clear" w:color="auto" w:fill="auto"/>
            <w:noWrap/>
            <w:vAlign w:val="bottom"/>
            <w:hideMark/>
          </w:tcPr>
          <w:p w14:paraId="69ABACA2"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53,3</w:t>
            </w:r>
          </w:p>
        </w:tc>
      </w:tr>
      <w:tr w:rsidR="00FB42D9" w:rsidRPr="00775731" w14:paraId="53289094" w14:textId="77777777" w:rsidTr="003119F7">
        <w:trPr>
          <w:trHeight w:val="300"/>
        </w:trPr>
        <w:tc>
          <w:tcPr>
            <w:tcW w:w="714" w:type="pct"/>
            <w:tcBorders>
              <w:right w:val="single" w:sz="4" w:space="0" w:color="auto"/>
            </w:tcBorders>
            <w:shd w:val="clear" w:color="auto" w:fill="auto"/>
            <w:noWrap/>
            <w:vAlign w:val="bottom"/>
            <w:hideMark/>
          </w:tcPr>
          <w:p w14:paraId="05CAD139"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CZ</w:t>
            </w:r>
          </w:p>
        </w:tc>
        <w:tc>
          <w:tcPr>
            <w:tcW w:w="714" w:type="pct"/>
            <w:tcBorders>
              <w:top w:val="nil"/>
              <w:left w:val="single" w:sz="4" w:space="0" w:color="auto"/>
              <w:bottom w:val="nil"/>
            </w:tcBorders>
            <w:shd w:val="clear" w:color="auto" w:fill="auto"/>
            <w:noWrap/>
            <w:vAlign w:val="bottom"/>
            <w:hideMark/>
          </w:tcPr>
          <w:p w14:paraId="50C93B1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68,0</w:t>
            </w:r>
          </w:p>
        </w:tc>
        <w:tc>
          <w:tcPr>
            <w:tcW w:w="714" w:type="pct"/>
            <w:shd w:val="clear" w:color="auto" w:fill="auto"/>
            <w:noWrap/>
            <w:vAlign w:val="bottom"/>
            <w:hideMark/>
          </w:tcPr>
          <w:p w14:paraId="52EBE054"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63,8</w:t>
            </w:r>
          </w:p>
        </w:tc>
        <w:tc>
          <w:tcPr>
            <w:tcW w:w="714" w:type="pct"/>
            <w:shd w:val="clear" w:color="auto" w:fill="auto"/>
            <w:noWrap/>
            <w:vAlign w:val="bottom"/>
            <w:hideMark/>
          </w:tcPr>
          <w:p w14:paraId="3E09D899"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60,3</w:t>
            </w:r>
          </w:p>
        </w:tc>
        <w:tc>
          <w:tcPr>
            <w:tcW w:w="714" w:type="pct"/>
            <w:shd w:val="clear" w:color="auto" w:fill="auto"/>
            <w:noWrap/>
            <w:vAlign w:val="bottom"/>
            <w:hideMark/>
          </w:tcPr>
          <w:p w14:paraId="1AC73682"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60,6</w:t>
            </w:r>
          </w:p>
        </w:tc>
        <w:tc>
          <w:tcPr>
            <w:tcW w:w="714" w:type="pct"/>
            <w:shd w:val="clear" w:color="auto" w:fill="auto"/>
            <w:noWrap/>
            <w:vAlign w:val="bottom"/>
            <w:hideMark/>
          </w:tcPr>
          <w:p w14:paraId="6782D34B"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56,7</w:t>
            </w:r>
          </w:p>
        </w:tc>
        <w:tc>
          <w:tcPr>
            <w:tcW w:w="716" w:type="pct"/>
            <w:shd w:val="clear" w:color="auto" w:fill="auto"/>
            <w:noWrap/>
            <w:vAlign w:val="bottom"/>
            <w:hideMark/>
          </w:tcPr>
          <w:p w14:paraId="20F0DBAF"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56,4</w:t>
            </w:r>
          </w:p>
        </w:tc>
      </w:tr>
      <w:tr w:rsidR="00FB42D9" w:rsidRPr="00775731" w14:paraId="2D6B0569" w14:textId="77777777" w:rsidTr="003119F7">
        <w:trPr>
          <w:trHeight w:val="285"/>
        </w:trPr>
        <w:tc>
          <w:tcPr>
            <w:tcW w:w="714" w:type="pct"/>
            <w:tcBorders>
              <w:right w:val="single" w:sz="4" w:space="0" w:color="auto"/>
            </w:tcBorders>
            <w:shd w:val="clear" w:color="auto" w:fill="auto"/>
            <w:noWrap/>
            <w:vAlign w:val="bottom"/>
            <w:hideMark/>
          </w:tcPr>
          <w:p w14:paraId="563F6CF5"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HU</w:t>
            </w:r>
          </w:p>
        </w:tc>
        <w:tc>
          <w:tcPr>
            <w:tcW w:w="714" w:type="pct"/>
            <w:tcBorders>
              <w:top w:val="nil"/>
              <w:left w:val="single" w:sz="4" w:space="0" w:color="auto"/>
              <w:bottom w:val="nil"/>
            </w:tcBorders>
            <w:shd w:val="clear" w:color="auto" w:fill="auto"/>
            <w:noWrap/>
            <w:vAlign w:val="bottom"/>
            <w:hideMark/>
          </w:tcPr>
          <w:p w14:paraId="5A43E21F"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68,2</w:t>
            </w:r>
          </w:p>
        </w:tc>
        <w:tc>
          <w:tcPr>
            <w:tcW w:w="714" w:type="pct"/>
            <w:shd w:val="clear" w:color="auto" w:fill="auto"/>
            <w:noWrap/>
            <w:vAlign w:val="bottom"/>
            <w:hideMark/>
          </w:tcPr>
          <w:p w14:paraId="7946A769"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65,3</w:t>
            </w:r>
          </w:p>
        </w:tc>
        <w:tc>
          <w:tcPr>
            <w:tcW w:w="714" w:type="pct"/>
            <w:shd w:val="clear" w:color="auto" w:fill="auto"/>
            <w:noWrap/>
            <w:vAlign w:val="bottom"/>
            <w:hideMark/>
          </w:tcPr>
          <w:p w14:paraId="2691536B"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63,7</w:t>
            </w:r>
          </w:p>
        </w:tc>
        <w:tc>
          <w:tcPr>
            <w:tcW w:w="714" w:type="pct"/>
            <w:shd w:val="clear" w:color="auto" w:fill="auto"/>
            <w:noWrap/>
            <w:vAlign w:val="bottom"/>
            <w:hideMark/>
          </w:tcPr>
          <w:p w14:paraId="3039F57B"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61,1</w:t>
            </w:r>
          </w:p>
        </w:tc>
        <w:tc>
          <w:tcPr>
            <w:tcW w:w="714" w:type="pct"/>
            <w:shd w:val="clear" w:color="auto" w:fill="auto"/>
            <w:noWrap/>
            <w:vAlign w:val="bottom"/>
            <w:hideMark/>
          </w:tcPr>
          <w:p w14:paraId="3A8B3FB5"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58,1</w:t>
            </w:r>
          </w:p>
        </w:tc>
        <w:tc>
          <w:tcPr>
            <w:tcW w:w="716" w:type="pct"/>
            <w:shd w:val="clear" w:color="auto" w:fill="auto"/>
            <w:noWrap/>
            <w:vAlign w:val="bottom"/>
            <w:hideMark/>
          </w:tcPr>
          <w:p w14:paraId="0B17DC4C"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56,1</w:t>
            </w:r>
          </w:p>
        </w:tc>
      </w:tr>
      <w:tr w:rsidR="00FB42D9" w:rsidRPr="00775731" w14:paraId="78D818FD" w14:textId="77777777" w:rsidTr="003119F7">
        <w:trPr>
          <w:trHeight w:val="285"/>
        </w:trPr>
        <w:tc>
          <w:tcPr>
            <w:tcW w:w="714" w:type="pct"/>
            <w:tcBorders>
              <w:right w:val="single" w:sz="4" w:space="0" w:color="auto"/>
            </w:tcBorders>
            <w:shd w:val="clear" w:color="auto" w:fill="auto"/>
            <w:noWrap/>
            <w:vAlign w:val="bottom"/>
            <w:hideMark/>
          </w:tcPr>
          <w:p w14:paraId="7DBB50A7" w14:textId="77777777" w:rsidR="00FB42D9" w:rsidRPr="00775731" w:rsidRDefault="00FB42D9" w:rsidP="003119F7">
            <w:pPr>
              <w:keepNext/>
              <w:keepLines/>
              <w:spacing w:after="0"/>
              <w:jc w:val="left"/>
              <w:rPr>
                <w:bCs w:val="0"/>
                <w:color w:val="auto"/>
                <w:sz w:val="22"/>
                <w:szCs w:val="22"/>
                <w:lang w:eastAsia="sk-SK"/>
              </w:rPr>
            </w:pPr>
            <w:r w:rsidRPr="00775731">
              <w:rPr>
                <w:bCs w:val="0"/>
                <w:color w:val="auto"/>
                <w:sz w:val="22"/>
                <w:szCs w:val="22"/>
                <w:lang w:eastAsia="sk-SK"/>
              </w:rPr>
              <w:t>PL</w:t>
            </w:r>
          </w:p>
        </w:tc>
        <w:tc>
          <w:tcPr>
            <w:tcW w:w="714" w:type="pct"/>
            <w:tcBorders>
              <w:top w:val="nil"/>
              <w:left w:val="single" w:sz="4" w:space="0" w:color="auto"/>
              <w:bottom w:val="double" w:sz="4" w:space="0" w:color="auto"/>
            </w:tcBorders>
            <w:shd w:val="clear" w:color="auto" w:fill="auto"/>
            <w:noWrap/>
            <w:vAlign w:val="bottom"/>
            <w:hideMark/>
          </w:tcPr>
          <w:p w14:paraId="161209C3"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70,5</w:t>
            </w:r>
          </w:p>
        </w:tc>
        <w:tc>
          <w:tcPr>
            <w:tcW w:w="714" w:type="pct"/>
            <w:shd w:val="clear" w:color="auto" w:fill="auto"/>
            <w:noWrap/>
            <w:vAlign w:val="bottom"/>
            <w:hideMark/>
          </w:tcPr>
          <w:p w14:paraId="4D0D3151"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66,3</w:t>
            </w:r>
          </w:p>
        </w:tc>
        <w:tc>
          <w:tcPr>
            <w:tcW w:w="714" w:type="pct"/>
            <w:shd w:val="clear" w:color="auto" w:fill="auto"/>
            <w:noWrap/>
            <w:vAlign w:val="bottom"/>
            <w:hideMark/>
          </w:tcPr>
          <w:p w14:paraId="0E29C21A"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63,7</w:t>
            </w:r>
          </w:p>
        </w:tc>
        <w:tc>
          <w:tcPr>
            <w:tcW w:w="714" w:type="pct"/>
            <w:shd w:val="clear" w:color="auto" w:fill="auto"/>
            <w:noWrap/>
            <w:vAlign w:val="bottom"/>
            <w:hideMark/>
          </w:tcPr>
          <w:p w14:paraId="73081278"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62,2</w:t>
            </w:r>
          </w:p>
        </w:tc>
        <w:tc>
          <w:tcPr>
            <w:tcW w:w="714" w:type="pct"/>
            <w:shd w:val="clear" w:color="auto" w:fill="auto"/>
            <w:noWrap/>
            <w:vAlign w:val="bottom"/>
            <w:hideMark/>
          </w:tcPr>
          <w:p w14:paraId="17B97A2F"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56,9</w:t>
            </w:r>
          </w:p>
        </w:tc>
        <w:tc>
          <w:tcPr>
            <w:tcW w:w="716" w:type="pct"/>
            <w:shd w:val="clear" w:color="auto" w:fill="auto"/>
            <w:noWrap/>
            <w:vAlign w:val="bottom"/>
            <w:hideMark/>
          </w:tcPr>
          <w:p w14:paraId="419128D4" w14:textId="77777777" w:rsidR="00FB42D9" w:rsidRPr="00775731" w:rsidRDefault="00FB42D9" w:rsidP="003119F7">
            <w:pPr>
              <w:keepNext/>
              <w:keepLines/>
              <w:spacing w:after="0"/>
              <w:jc w:val="center"/>
              <w:rPr>
                <w:bCs w:val="0"/>
                <w:color w:val="auto"/>
                <w:sz w:val="22"/>
                <w:szCs w:val="22"/>
                <w:lang w:eastAsia="sk-SK"/>
              </w:rPr>
            </w:pPr>
            <w:r w:rsidRPr="00775731">
              <w:rPr>
                <w:bCs w:val="0"/>
                <w:color w:val="auto"/>
                <w:sz w:val="22"/>
                <w:szCs w:val="22"/>
                <w:lang w:eastAsia="sk-SK"/>
              </w:rPr>
              <w:t>54,1</w:t>
            </w:r>
          </w:p>
        </w:tc>
      </w:tr>
    </w:tbl>
    <w:p w14:paraId="1543A929" w14:textId="28DAA09A" w:rsidR="00FB42D9" w:rsidRPr="00775731" w:rsidRDefault="00FB42D9" w:rsidP="00FB42D9">
      <w:pPr>
        <w:keepNext/>
        <w:keepLines/>
        <w:contextualSpacing/>
        <w:rPr>
          <w:sz w:val="20"/>
          <w:szCs w:val="20"/>
        </w:rPr>
      </w:pPr>
      <w:r w:rsidRPr="00775731">
        <w:rPr>
          <w:sz w:val="20"/>
          <w:szCs w:val="20"/>
        </w:rPr>
        <w:t xml:space="preserve">Zdroj: </w:t>
      </w:r>
      <w:proofErr w:type="spellStart"/>
      <w:r w:rsidRPr="00775731">
        <w:rPr>
          <w:sz w:val="20"/>
          <w:szCs w:val="20"/>
        </w:rPr>
        <w:t>European</w:t>
      </w:r>
      <w:proofErr w:type="spellEnd"/>
      <w:r w:rsidRPr="00775731">
        <w:rPr>
          <w:sz w:val="20"/>
          <w:szCs w:val="20"/>
        </w:rPr>
        <w:t xml:space="preserve"> </w:t>
      </w:r>
      <w:proofErr w:type="spellStart"/>
      <w:r w:rsidRPr="00775731">
        <w:rPr>
          <w:sz w:val="20"/>
          <w:szCs w:val="20"/>
        </w:rPr>
        <w:t>Commission</w:t>
      </w:r>
      <w:proofErr w:type="spellEnd"/>
      <w:r w:rsidRPr="00775731">
        <w:rPr>
          <w:sz w:val="20"/>
          <w:szCs w:val="20"/>
        </w:rPr>
        <w:t xml:space="preserve"> (2015): </w:t>
      </w:r>
      <w:proofErr w:type="spellStart"/>
      <w:r w:rsidRPr="00775731">
        <w:rPr>
          <w:i/>
          <w:sz w:val="20"/>
          <w:szCs w:val="20"/>
        </w:rPr>
        <w:t>European</w:t>
      </w:r>
      <w:proofErr w:type="spellEnd"/>
      <w:r w:rsidRPr="00775731">
        <w:rPr>
          <w:i/>
          <w:sz w:val="20"/>
          <w:szCs w:val="20"/>
        </w:rPr>
        <w:t xml:space="preserve"> </w:t>
      </w:r>
      <w:proofErr w:type="spellStart"/>
      <w:r w:rsidRPr="00775731">
        <w:rPr>
          <w:i/>
          <w:sz w:val="20"/>
          <w:szCs w:val="20"/>
        </w:rPr>
        <w:t>Commission</w:t>
      </w:r>
      <w:proofErr w:type="spellEnd"/>
      <w:r w:rsidRPr="00775731">
        <w:rPr>
          <w:i/>
          <w:sz w:val="20"/>
          <w:szCs w:val="20"/>
        </w:rPr>
        <w:t xml:space="preserve"> (2015): </w:t>
      </w:r>
      <w:proofErr w:type="spellStart"/>
      <w:r w:rsidRPr="00775731">
        <w:rPr>
          <w:i/>
          <w:sz w:val="20"/>
          <w:szCs w:val="20"/>
        </w:rPr>
        <w:t>The</w:t>
      </w:r>
      <w:proofErr w:type="spellEnd"/>
      <w:r w:rsidRPr="00775731">
        <w:rPr>
          <w:i/>
          <w:sz w:val="20"/>
          <w:szCs w:val="20"/>
        </w:rPr>
        <w:t xml:space="preserve"> 2015 </w:t>
      </w:r>
      <w:proofErr w:type="spellStart"/>
      <w:r w:rsidRPr="00775731">
        <w:rPr>
          <w:i/>
          <w:sz w:val="20"/>
          <w:szCs w:val="20"/>
        </w:rPr>
        <w:t>Ageing</w:t>
      </w:r>
      <w:proofErr w:type="spellEnd"/>
      <w:r w:rsidRPr="00775731">
        <w:rPr>
          <w:i/>
          <w:sz w:val="20"/>
          <w:szCs w:val="20"/>
        </w:rPr>
        <w:t xml:space="preserve"> Report. </w:t>
      </w:r>
      <w:proofErr w:type="spellStart"/>
      <w:r w:rsidRPr="00775731">
        <w:rPr>
          <w:i/>
          <w:sz w:val="20"/>
          <w:szCs w:val="20"/>
        </w:rPr>
        <w:t>European</w:t>
      </w:r>
      <w:proofErr w:type="spellEnd"/>
      <w:r w:rsidRPr="00775731">
        <w:rPr>
          <w:i/>
          <w:sz w:val="20"/>
          <w:szCs w:val="20"/>
        </w:rPr>
        <w:t xml:space="preserve"> </w:t>
      </w:r>
      <w:proofErr w:type="spellStart"/>
      <w:r w:rsidRPr="00775731">
        <w:rPr>
          <w:i/>
          <w:sz w:val="20"/>
          <w:szCs w:val="20"/>
        </w:rPr>
        <w:t>Economy</w:t>
      </w:r>
      <w:proofErr w:type="spellEnd"/>
      <w:r w:rsidRPr="00775731">
        <w:rPr>
          <w:i/>
          <w:sz w:val="20"/>
          <w:szCs w:val="20"/>
        </w:rPr>
        <w:t xml:space="preserve"> 3|2015. </w:t>
      </w:r>
      <w:r w:rsidRPr="00775731">
        <w:rPr>
          <w:sz w:val="20"/>
          <w:szCs w:val="20"/>
        </w:rPr>
        <w:t>Rozdiely v súčtoch vyplývajú z</w:t>
      </w:r>
      <w:r w:rsidR="002172B7">
        <w:rPr>
          <w:sz w:val="20"/>
          <w:szCs w:val="20"/>
        </w:rPr>
        <w:t>o</w:t>
      </w:r>
      <w:r w:rsidRPr="00775731">
        <w:rPr>
          <w:sz w:val="20"/>
          <w:szCs w:val="20"/>
        </w:rPr>
        <w:t xml:space="preserve"> zaokrúhľovania.</w:t>
      </w:r>
    </w:p>
    <w:p w14:paraId="6EF248A7" w14:textId="60B837CD" w:rsidR="001C2A4B" w:rsidRDefault="001C2A4B" w:rsidP="004635B8"/>
    <w:p w14:paraId="7E957038" w14:textId="25B99A8D" w:rsidR="001C2A4B" w:rsidRDefault="008C40B2" w:rsidP="001C2A4B">
      <w:pPr>
        <w:keepNext/>
        <w:contextualSpacing/>
        <w:rPr>
          <w:lang w:eastAsia="sk-SK"/>
        </w:rPr>
      </w:pPr>
      <w:bookmarkStart w:id="44" w:name="_Toc500705971"/>
      <w:r w:rsidRPr="008F3AE0">
        <w:rPr>
          <w:b/>
        </w:rPr>
        <w:t xml:space="preserve">Tabuľka </w:t>
      </w:r>
      <w:r w:rsidRPr="008F3AE0">
        <w:fldChar w:fldCharType="begin"/>
      </w:r>
      <w:r w:rsidRPr="008F3AE0">
        <w:rPr>
          <w:b/>
        </w:rPr>
        <w:instrText xml:space="preserve"> SEQ Tabuľka \* ARABIC </w:instrText>
      </w:r>
      <w:r w:rsidRPr="008F3AE0">
        <w:fldChar w:fldCharType="separate"/>
      </w:r>
      <w:r>
        <w:rPr>
          <w:b/>
          <w:noProof/>
        </w:rPr>
        <w:t>2</w:t>
      </w:r>
      <w:r w:rsidRPr="008F3AE0">
        <w:fldChar w:fldCharType="end"/>
      </w:r>
      <w:r w:rsidRPr="008F3AE0">
        <w:rPr>
          <w:b/>
        </w:rPr>
        <w:t>:</w:t>
      </w:r>
      <w:r w:rsidRPr="008F3AE0">
        <w:t xml:space="preserve"> </w:t>
      </w:r>
      <w:r w:rsidR="001C2A4B">
        <w:t>Dekompozícia projektovaného rastu HDP</w:t>
      </w:r>
      <w:r w:rsidR="001C2A4B">
        <w:rPr>
          <w:lang w:eastAsia="sk-SK"/>
        </w:rPr>
        <w:t xml:space="preserve"> v rokoch 2010-2060</w:t>
      </w:r>
      <w:bookmarkEnd w:id="44"/>
    </w:p>
    <w:tbl>
      <w:tblP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5227"/>
        <w:gridCol w:w="841"/>
        <w:gridCol w:w="840"/>
        <w:gridCol w:w="703"/>
        <w:gridCol w:w="850"/>
        <w:gridCol w:w="529"/>
      </w:tblGrid>
      <w:tr w:rsidR="006C6C49" w:rsidRPr="00B76D8E" w14:paraId="3BED6E5E" w14:textId="77777777" w:rsidTr="006C6C49">
        <w:trPr>
          <w:trHeight w:val="369"/>
        </w:trPr>
        <w:tc>
          <w:tcPr>
            <w:tcW w:w="2907" w:type="pct"/>
            <w:tcBorders>
              <w:top w:val="double" w:sz="4" w:space="0" w:color="auto"/>
              <w:bottom w:val="single" w:sz="4" w:space="0" w:color="auto"/>
              <w:right w:val="single" w:sz="4" w:space="0" w:color="auto"/>
            </w:tcBorders>
            <w:shd w:val="clear" w:color="auto" w:fill="auto"/>
            <w:tcMar>
              <w:left w:w="28" w:type="dxa"/>
              <w:right w:w="28" w:type="dxa"/>
            </w:tcMar>
            <w:vAlign w:val="center"/>
            <w:hideMark/>
          </w:tcPr>
          <w:p w14:paraId="45FEFF1E" w14:textId="77777777" w:rsidR="006C6C49" w:rsidRPr="00B3369B" w:rsidRDefault="006C6C49" w:rsidP="001E10E4">
            <w:pPr>
              <w:keepNext/>
              <w:spacing w:after="0"/>
              <w:contextualSpacing/>
              <w:jc w:val="left"/>
              <w:rPr>
                <w:b/>
                <w:bCs w:val="0"/>
                <w:sz w:val="22"/>
                <w:szCs w:val="22"/>
                <w:lang w:eastAsia="sk-SK"/>
              </w:rPr>
            </w:pPr>
            <w:r w:rsidRPr="00B3369B">
              <w:rPr>
                <w:b/>
                <w:bCs w:val="0"/>
                <w:sz w:val="22"/>
                <w:szCs w:val="22"/>
                <w:lang w:eastAsia="sk-SK"/>
              </w:rPr>
              <w:t>Ukazovateľ</w:t>
            </w:r>
          </w:p>
        </w:tc>
        <w:tc>
          <w:tcPr>
            <w:tcW w:w="468" w:type="pct"/>
            <w:tcBorders>
              <w:top w:val="double" w:sz="4" w:space="0" w:color="auto"/>
              <w:bottom w:val="single" w:sz="4" w:space="0" w:color="auto"/>
              <w:right w:val="single" w:sz="4" w:space="0" w:color="auto"/>
            </w:tcBorders>
            <w:shd w:val="clear" w:color="auto" w:fill="DBE5F1"/>
            <w:vAlign w:val="center"/>
          </w:tcPr>
          <w:p w14:paraId="628DF597" w14:textId="0F0B91F7" w:rsidR="006C6C49" w:rsidRPr="00B3369B" w:rsidRDefault="006C6C49" w:rsidP="001E10E4">
            <w:pPr>
              <w:keepNext/>
              <w:spacing w:after="0"/>
              <w:contextualSpacing/>
              <w:jc w:val="center"/>
              <w:rPr>
                <w:b/>
                <w:bCs w:val="0"/>
                <w:sz w:val="22"/>
                <w:szCs w:val="22"/>
                <w:lang w:eastAsia="sk-SK"/>
              </w:rPr>
            </w:pPr>
            <w:r>
              <w:rPr>
                <w:b/>
                <w:bCs w:val="0"/>
                <w:sz w:val="22"/>
                <w:szCs w:val="22"/>
                <w:lang w:eastAsia="sk-SK"/>
              </w:rPr>
              <w:t>EÚ28</w:t>
            </w:r>
          </w:p>
        </w:tc>
        <w:tc>
          <w:tcPr>
            <w:tcW w:w="467" w:type="pct"/>
            <w:tcBorders>
              <w:top w:val="double" w:sz="4" w:space="0" w:color="auto"/>
              <w:left w:val="single" w:sz="4" w:space="0" w:color="auto"/>
              <w:bottom w:val="single" w:sz="4" w:space="0" w:color="auto"/>
              <w:right w:val="single" w:sz="4" w:space="0" w:color="auto"/>
            </w:tcBorders>
            <w:shd w:val="clear" w:color="auto" w:fill="FFFFCC"/>
            <w:tcMar>
              <w:left w:w="28" w:type="dxa"/>
              <w:right w:w="28" w:type="dxa"/>
            </w:tcMar>
            <w:vAlign w:val="center"/>
          </w:tcPr>
          <w:p w14:paraId="7B139DEF" w14:textId="77777777" w:rsidR="006C6C49" w:rsidRPr="00B3369B" w:rsidRDefault="006C6C49" w:rsidP="001E10E4">
            <w:pPr>
              <w:keepNext/>
              <w:spacing w:after="0"/>
              <w:contextualSpacing/>
              <w:jc w:val="center"/>
              <w:rPr>
                <w:b/>
                <w:bCs w:val="0"/>
                <w:sz w:val="22"/>
                <w:szCs w:val="22"/>
                <w:lang w:eastAsia="sk-SK"/>
              </w:rPr>
            </w:pPr>
            <w:r w:rsidRPr="00B3369B">
              <w:rPr>
                <w:b/>
                <w:bCs w:val="0"/>
                <w:sz w:val="22"/>
                <w:szCs w:val="22"/>
                <w:lang w:eastAsia="sk-SK"/>
              </w:rPr>
              <w:t>SK</w:t>
            </w:r>
          </w:p>
        </w:tc>
        <w:tc>
          <w:tcPr>
            <w:tcW w:w="391" w:type="pct"/>
            <w:tcBorders>
              <w:top w:val="double" w:sz="4" w:space="0" w:color="auto"/>
              <w:left w:val="single" w:sz="4" w:space="0" w:color="auto"/>
              <w:bottom w:val="single" w:sz="4" w:space="0" w:color="auto"/>
              <w:right w:val="nil"/>
            </w:tcBorders>
            <w:tcMar>
              <w:left w:w="28" w:type="dxa"/>
              <w:right w:w="28" w:type="dxa"/>
            </w:tcMar>
            <w:vAlign w:val="center"/>
          </w:tcPr>
          <w:p w14:paraId="3A9ED23C" w14:textId="77777777" w:rsidR="006C6C49" w:rsidRPr="00B3369B" w:rsidRDefault="006C6C49" w:rsidP="001E10E4">
            <w:pPr>
              <w:keepNext/>
              <w:spacing w:after="0"/>
              <w:contextualSpacing/>
              <w:jc w:val="center"/>
              <w:rPr>
                <w:b/>
                <w:bCs w:val="0"/>
                <w:sz w:val="22"/>
                <w:szCs w:val="22"/>
                <w:lang w:eastAsia="sk-SK"/>
              </w:rPr>
            </w:pPr>
            <w:r w:rsidRPr="00B3369B">
              <w:rPr>
                <w:b/>
                <w:bCs w:val="0"/>
                <w:sz w:val="22"/>
                <w:szCs w:val="22"/>
                <w:lang w:eastAsia="sk-SK"/>
              </w:rPr>
              <w:t>CZ</w:t>
            </w:r>
          </w:p>
        </w:tc>
        <w:tc>
          <w:tcPr>
            <w:tcW w:w="473" w:type="pct"/>
            <w:tcBorders>
              <w:top w:val="double" w:sz="4" w:space="0" w:color="auto"/>
              <w:left w:val="nil"/>
              <w:bottom w:val="single" w:sz="4" w:space="0" w:color="auto"/>
              <w:right w:val="nil"/>
            </w:tcBorders>
            <w:tcMar>
              <w:left w:w="28" w:type="dxa"/>
              <w:right w:w="28" w:type="dxa"/>
            </w:tcMar>
            <w:vAlign w:val="center"/>
          </w:tcPr>
          <w:p w14:paraId="79F41DBD" w14:textId="77777777" w:rsidR="006C6C49" w:rsidRPr="00B3369B" w:rsidRDefault="006C6C49" w:rsidP="001E10E4">
            <w:pPr>
              <w:keepNext/>
              <w:spacing w:after="0"/>
              <w:contextualSpacing/>
              <w:jc w:val="center"/>
              <w:rPr>
                <w:b/>
                <w:bCs w:val="0"/>
                <w:sz w:val="22"/>
                <w:szCs w:val="22"/>
                <w:lang w:eastAsia="sk-SK"/>
              </w:rPr>
            </w:pPr>
            <w:r w:rsidRPr="00B3369B">
              <w:rPr>
                <w:b/>
                <w:bCs w:val="0"/>
                <w:sz w:val="22"/>
                <w:szCs w:val="22"/>
                <w:lang w:eastAsia="sk-SK"/>
              </w:rPr>
              <w:t>HU</w:t>
            </w:r>
          </w:p>
        </w:tc>
        <w:tc>
          <w:tcPr>
            <w:tcW w:w="294" w:type="pct"/>
            <w:tcBorders>
              <w:top w:val="double" w:sz="4" w:space="0" w:color="auto"/>
              <w:left w:val="nil"/>
              <w:bottom w:val="single" w:sz="4" w:space="0" w:color="auto"/>
              <w:right w:val="double" w:sz="4" w:space="0" w:color="auto"/>
            </w:tcBorders>
            <w:tcMar>
              <w:left w:w="28" w:type="dxa"/>
              <w:right w:w="28" w:type="dxa"/>
            </w:tcMar>
            <w:vAlign w:val="center"/>
          </w:tcPr>
          <w:p w14:paraId="2525C29D" w14:textId="77777777" w:rsidR="006C6C49" w:rsidRPr="00B3369B" w:rsidRDefault="006C6C49" w:rsidP="001E10E4">
            <w:pPr>
              <w:keepNext/>
              <w:spacing w:after="0"/>
              <w:contextualSpacing/>
              <w:jc w:val="center"/>
              <w:rPr>
                <w:b/>
                <w:bCs w:val="0"/>
                <w:sz w:val="22"/>
                <w:szCs w:val="22"/>
                <w:lang w:eastAsia="sk-SK"/>
              </w:rPr>
            </w:pPr>
            <w:r w:rsidRPr="00B3369B">
              <w:rPr>
                <w:b/>
                <w:bCs w:val="0"/>
                <w:sz w:val="22"/>
                <w:szCs w:val="22"/>
                <w:lang w:eastAsia="sk-SK"/>
              </w:rPr>
              <w:t>PL</w:t>
            </w:r>
          </w:p>
        </w:tc>
      </w:tr>
      <w:tr w:rsidR="006C6C49" w:rsidRPr="00CD5B34" w14:paraId="2EBC5091" w14:textId="77777777" w:rsidTr="006C6C49">
        <w:trPr>
          <w:trHeight w:val="255"/>
        </w:trPr>
        <w:tc>
          <w:tcPr>
            <w:tcW w:w="2907" w:type="pct"/>
            <w:tcBorders>
              <w:top w:val="single" w:sz="4" w:space="0" w:color="auto"/>
              <w:bottom w:val="nil"/>
              <w:right w:val="single" w:sz="4" w:space="0" w:color="auto"/>
            </w:tcBorders>
            <w:shd w:val="clear" w:color="auto" w:fill="auto"/>
            <w:tcMar>
              <w:left w:w="28" w:type="dxa"/>
              <w:right w:w="28" w:type="dxa"/>
            </w:tcMar>
            <w:vAlign w:val="center"/>
            <w:hideMark/>
          </w:tcPr>
          <w:p w14:paraId="1EAFD62E" w14:textId="77777777" w:rsidR="006C6C49" w:rsidRPr="00B3369B" w:rsidRDefault="006C6C49" w:rsidP="001E10E4">
            <w:pPr>
              <w:keepNext/>
              <w:spacing w:after="0"/>
              <w:contextualSpacing/>
              <w:jc w:val="left"/>
              <w:rPr>
                <w:b/>
                <w:sz w:val="22"/>
                <w:szCs w:val="22"/>
                <w:lang w:eastAsia="sk-SK"/>
              </w:rPr>
            </w:pPr>
            <w:r w:rsidRPr="00B3369B">
              <w:rPr>
                <w:b/>
                <w:sz w:val="22"/>
                <w:szCs w:val="22"/>
                <w:lang w:eastAsia="sk-SK"/>
              </w:rPr>
              <w:t>Celkový priemerný rast HDP (%) = 1 + 2, v tom</w:t>
            </w:r>
          </w:p>
        </w:tc>
        <w:tc>
          <w:tcPr>
            <w:tcW w:w="468" w:type="pct"/>
            <w:tcBorders>
              <w:top w:val="single" w:sz="4" w:space="0" w:color="auto"/>
              <w:bottom w:val="nil"/>
              <w:right w:val="single" w:sz="4" w:space="0" w:color="auto"/>
            </w:tcBorders>
            <w:shd w:val="clear" w:color="auto" w:fill="DBE5F1"/>
            <w:vAlign w:val="center"/>
          </w:tcPr>
          <w:p w14:paraId="5AB867DE" w14:textId="77777777" w:rsidR="006C6C49" w:rsidRPr="00B3369B" w:rsidRDefault="006C6C49" w:rsidP="001E10E4">
            <w:pPr>
              <w:keepNext/>
              <w:spacing w:after="0"/>
              <w:contextualSpacing/>
              <w:jc w:val="center"/>
              <w:rPr>
                <w:b/>
                <w:sz w:val="22"/>
                <w:szCs w:val="22"/>
                <w:lang w:eastAsia="sk-SK"/>
              </w:rPr>
            </w:pPr>
            <w:r w:rsidRPr="00B3369B">
              <w:rPr>
                <w:b/>
                <w:sz w:val="22"/>
                <w:szCs w:val="22"/>
                <w:lang w:eastAsia="sk-SK"/>
              </w:rPr>
              <w:t>1,4</w:t>
            </w:r>
          </w:p>
        </w:tc>
        <w:tc>
          <w:tcPr>
            <w:tcW w:w="467" w:type="pct"/>
            <w:tcBorders>
              <w:top w:val="single" w:sz="4" w:space="0" w:color="auto"/>
              <w:left w:val="single" w:sz="4" w:space="0" w:color="auto"/>
              <w:bottom w:val="nil"/>
              <w:right w:val="single" w:sz="4" w:space="0" w:color="auto"/>
            </w:tcBorders>
            <w:shd w:val="clear" w:color="auto" w:fill="FFFFCC"/>
            <w:tcMar>
              <w:left w:w="28" w:type="dxa"/>
              <w:right w:w="28" w:type="dxa"/>
            </w:tcMar>
            <w:vAlign w:val="center"/>
          </w:tcPr>
          <w:p w14:paraId="6F75A296" w14:textId="25B88D0A" w:rsidR="006C6C49" w:rsidRPr="00B3369B" w:rsidRDefault="006C6C49" w:rsidP="001E10E4">
            <w:pPr>
              <w:keepNext/>
              <w:spacing w:after="0"/>
              <w:contextualSpacing/>
              <w:jc w:val="center"/>
              <w:rPr>
                <w:b/>
                <w:bCs w:val="0"/>
                <w:sz w:val="22"/>
                <w:szCs w:val="22"/>
                <w:lang w:eastAsia="sk-SK"/>
              </w:rPr>
            </w:pPr>
            <w:r>
              <w:rPr>
                <w:b/>
                <w:bCs w:val="0"/>
                <w:sz w:val="22"/>
                <w:szCs w:val="22"/>
                <w:lang w:eastAsia="sk-SK"/>
              </w:rPr>
              <w:t>1,5</w:t>
            </w:r>
          </w:p>
        </w:tc>
        <w:tc>
          <w:tcPr>
            <w:tcW w:w="391" w:type="pct"/>
            <w:tcBorders>
              <w:top w:val="single" w:sz="4" w:space="0" w:color="auto"/>
              <w:left w:val="single" w:sz="4" w:space="0" w:color="auto"/>
              <w:bottom w:val="nil"/>
              <w:right w:val="nil"/>
            </w:tcBorders>
            <w:tcMar>
              <w:left w:w="28" w:type="dxa"/>
              <w:right w:w="28" w:type="dxa"/>
            </w:tcMar>
            <w:vAlign w:val="center"/>
          </w:tcPr>
          <w:p w14:paraId="0EEB46C3" w14:textId="7FA0F6A3" w:rsidR="006C6C49" w:rsidRPr="00B3369B" w:rsidRDefault="006C6C49" w:rsidP="001E10E4">
            <w:pPr>
              <w:keepNext/>
              <w:spacing w:after="0"/>
              <w:contextualSpacing/>
              <w:jc w:val="center"/>
              <w:rPr>
                <w:b/>
                <w:sz w:val="22"/>
                <w:szCs w:val="22"/>
                <w:lang w:eastAsia="sk-SK"/>
              </w:rPr>
            </w:pPr>
            <w:r>
              <w:rPr>
                <w:b/>
                <w:sz w:val="22"/>
                <w:szCs w:val="22"/>
                <w:lang w:eastAsia="sk-SK"/>
              </w:rPr>
              <w:t>1,6</w:t>
            </w:r>
          </w:p>
        </w:tc>
        <w:tc>
          <w:tcPr>
            <w:tcW w:w="473" w:type="pct"/>
            <w:tcBorders>
              <w:top w:val="single" w:sz="4" w:space="0" w:color="auto"/>
              <w:left w:val="nil"/>
              <w:bottom w:val="nil"/>
              <w:right w:val="nil"/>
            </w:tcBorders>
            <w:tcMar>
              <w:left w:w="28" w:type="dxa"/>
              <w:right w:w="28" w:type="dxa"/>
            </w:tcMar>
            <w:vAlign w:val="center"/>
          </w:tcPr>
          <w:p w14:paraId="73065A76" w14:textId="70B3A6BB" w:rsidR="006C6C49" w:rsidRPr="00B3369B" w:rsidRDefault="006C6C49" w:rsidP="001E10E4">
            <w:pPr>
              <w:keepNext/>
              <w:spacing w:after="0"/>
              <w:contextualSpacing/>
              <w:jc w:val="center"/>
              <w:rPr>
                <w:b/>
                <w:sz w:val="22"/>
                <w:szCs w:val="22"/>
                <w:lang w:eastAsia="sk-SK"/>
              </w:rPr>
            </w:pPr>
            <w:r>
              <w:rPr>
                <w:b/>
                <w:sz w:val="22"/>
                <w:szCs w:val="22"/>
                <w:lang w:eastAsia="sk-SK"/>
              </w:rPr>
              <w:t>15</w:t>
            </w:r>
            <w:r w:rsidRPr="00B3369B">
              <w:rPr>
                <w:b/>
                <w:sz w:val="22"/>
                <w:szCs w:val="22"/>
                <w:lang w:eastAsia="sk-SK"/>
              </w:rPr>
              <w:t>2</w:t>
            </w:r>
          </w:p>
        </w:tc>
        <w:tc>
          <w:tcPr>
            <w:tcW w:w="294" w:type="pct"/>
            <w:tcBorders>
              <w:top w:val="single" w:sz="4" w:space="0" w:color="auto"/>
              <w:left w:val="nil"/>
              <w:bottom w:val="nil"/>
              <w:right w:val="double" w:sz="4" w:space="0" w:color="auto"/>
            </w:tcBorders>
            <w:tcMar>
              <w:left w:w="28" w:type="dxa"/>
              <w:right w:w="28" w:type="dxa"/>
            </w:tcMar>
            <w:vAlign w:val="center"/>
          </w:tcPr>
          <w:p w14:paraId="55C966D7" w14:textId="684C032F" w:rsidR="006C6C49" w:rsidRPr="00B3369B" w:rsidRDefault="006C6C49" w:rsidP="001E10E4">
            <w:pPr>
              <w:keepNext/>
              <w:spacing w:after="0"/>
              <w:contextualSpacing/>
              <w:jc w:val="center"/>
              <w:rPr>
                <w:b/>
                <w:sz w:val="22"/>
                <w:szCs w:val="22"/>
                <w:lang w:eastAsia="sk-SK"/>
              </w:rPr>
            </w:pPr>
            <w:r>
              <w:rPr>
                <w:b/>
                <w:sz w:val="22"/>
                <w:szCs w:val="22"/>
                <w:lang w:eastAsia="sk-SK"/>
              </w:rPr>
              <w:t>1,6</w:t>
            </w:r>
          </w:p>
        </w:tc>
      </w:tr>
      <w:tr w:rsidR="006C6C49" w:rsidRPr="00B76D8E" w14:paraId="39F1CBB5" w14:textId="77777777" w:rsidTr="006C6C49">
        <w:trPr>
          <w:trHeight w:val="255"/>
        </w:trPr>
        <w:tc>
          <w:tcPr>
            <w:tcW w:w="2907" w:type="pct"/>
            <w:tcBorders>
              <w:top w:val="single" w:sz="4" w:space="0" w:color="auto"/>
              <w:bottom w:val="nil"/>
              <w:right w:val="single" w:sz="4" w:space="0" w:color="auto"/>
            </w:tcBorders>
            <w:shd w:val="clear" w:color="auto" w:fill="auto"/>
            <w:tcMar>
              <w:left w:w="28" w:type="dxa"/>
              <w:right w:w="28" w:type="dxa"/>
            </w:tcMar>
            <w:vAlign w:val="center"/>
          </w:tcPr>
          <w:p w14:paraId="096B93CF" w14:textId="2D4C2E26" w:rsidR="006C6C49" w:rsidRPr="006C6C49" w:rsidRDefault="006C6C49" w:rsidP="001E10E4">
            <w:pPr>
              <w:keepNext/>
              <w:spacing w:after="0"/>
              <w:contextualSpacing/>
              <w:jc w:val="left"/>
              <w:rPr>
                <w:b/>
                <w:i/>
                <w:sz w:val="22"/>
                <w:szCs w:val="22"/>
                <w:lang w:eastAsia="sk-SK"/>
              </w:rPr>
            </w:pPr>
            <w:r w:rsidRPr="00B3369B">
              <w:rPr>
                <w:b/>
                <w:i/>
                <w:sz w:val="22"/>
                <w:szCs w:val="22"/>
                <w:lang w:eastAsia="sk-SK"/>
              </w:rPr>
              <w:t>1 Rast produktivity práce na 1 hodinu</w:t>
            </w:r>
            <w:r>
              <w:rPr>
                <w:b/>
                <w:i/>
                <w:sz w:val="22"/>
                <w:szCs w:val="22"/>
                <w:lang w:eastAsia="sk-SK"/>
              </w:rPr>
              <w:t xml:space="preserve"> </w:t>
            </w:r>
            <w:r>
              <w:rPr>
                <w:b/>
                <w:i/>
                <w:sz w:val="22"/>
                <w:szCs w:val="22"/>
                <w:lang w:val="en-US" w:eastAsia="sk-SK"/>
              </w:rPr>
              <w:t>(1.1+1.2)</w:t>
            </w:r>
          </w:p>
        </w:tc>
        <w:tc>
          <w:tcPr>
            <w:tcW w:w="468" w:type="pct"/>
            <w:tcBorders>
              <w:top w:val="single" w:sz="4" w:space="0" w:color="auto"/>
              <w:bottom w:val="nil"/>
              <w:right w:val="single" w:sz="4" w:space="0" w:color="auto"/>
            </w:tcBorders>
            <w:shd w:val="clear" w:color="auto" w:fill="DBE5F1"/>
            <w:vAlign w:val="center"/>
          </w:tcPr>
          <w:p w14:paraId="7F122A76" w14:textId="3EA93D1A" w:rsidR="006C6C49" w:rsidRPr="00B3369B" w:rsidRDefault="006C6C49" w:rsidP="001E10E4">
            <w:pPr>
              <w:keepNext/>
              <w:spacing w:after="0"/>
              <w:contextualSpacing/>
              <w:jc w:val="center"/>
              <w:rPr>
                <w:b/>
                <w:i/>
                <w:sz w:val="22"/>
                <w:szCs w:val="22"/>
                <w:lang w:eastAsia="sk-SK"/>
              </w:rPr>
            </w:pPr>
            <w:r>
              <w:rPr>
                <w:b/>
                <w:i/>
                <w:sz w:val="22"/>
                <w:szCs w:val="22"/>
                <w:lang w:eastAsia="sk-SK"/>
              </w:rPr>
              <w:t>1,4</w:t>
            </w:r>
          </w:p>
        </w:tc>
        <w:tc>
          <w:tcPr>
            <w:tcW w:w="467" w:type="pct"/>
            <w:tcBorders>
              <w:top w:val="single" w:sz="4" w:space="0" w:color="auto"/>
              <w:left w:val="single" w:sz="4" w:space="0" w:color="auto"/>
              <w:bottom w:val="nil"/>
              <w:right w:val="single" w:sz="4" w:space="0" w:color="auto"/>
            </w:tcBorders>
            <w:shd w:val="clear" w:color="auto" w:fill="FFFFCC"/>
            <w:tcMar>
              <w:left w:w="28" w:type="dxa"/>
              <w:right w:w="28" w:type="dxa"/>
            </w:tcMar>
            <w:vAlign w:val="center"/>
          </w:tcPr>
          <w:p w14:paraId="76F3EEE5" w14:textId="7330B6D1" w:rsidR="006C6C49" w:rsidRPr="00B3369B" w:rsidRDefault="006C6C49" w:rsidP="001E10E4">
            <w:pPr>
              <w:keepNext/>
              <w:spacing w:after="0"/>
              <w:contextualSpacing/>
              <w:jc w:val="center"/>
              <w:rPr>
                <w:b/>
                <w:bCs w:val="0"/>
                <w:i/>
                <w:sz w:val="22"/>
                <w:szCs w:val="22"/>
                <w:lang w:eastAsia="sk-SK"/>
              </w:rPr>
            </w:pPr>
            <w:r>
              <w:rPr>
                <w:b/>
                <w:bCs w:val="0"/>
                <w:i/>
                <w:sz w:val="22"/>
                <w:szCs w:val="22"/>
                <w:lang w:eastAsia="sk-SK"/>
              </w:rPr>
              <w:t>2,2</w:t>
            </w:r>
          </w:p>
        </w:tc>
        <w:tc>
          <w:tcPr>
            <w:tcW w:w="391" w:type="pct"/>
            <w:tcBorders>
              <w:top w:val="single" w:sz="4" w:space="0" w:color="auto"/>
              <w:left w:val="single" w:sz="4" w:space="0" w:color="auto"/>
              <w:bottom w:val="nil"/>
              <w:right w:val="nil"/>
            </w:tcBorders>
            <w:tcMar>
              <w:left w:w="28" w:type="dxa"/>
              <w:right w:w="28" w:type="dxa"/>
            </w:tcMar>
            <w:vAlign w:val="center"/>
          </w:tcPr>
          <w:p w14:paraId="0720B51D" w14:textId="2708E124" w:rsidR="006C6C49" w:rsidRPr="00B3369B" w:rsidRDefault="006C6C49" w:rsidP="001E10E4">
            <w:pPr>
              <w:keepNext/>
              <w:spacing w:after="0"/>
              <w:contextualSpacing/>
              <w:jc w:val="center"/>
              <w:rPr>
                <w:b/>
                <w:i/>
                <w:sz w:val="22"/>
                <w:szCs w:val="22"/>
                <w:lang w:eastAsia="sk-SK"/>
              </w:rPr>
            </w:pPr>
            <w:r>
              <w:rPr>
                <w:b/>
                <w:i/>
                <w:sz w:val="22"/>
                <w:szCs w:val="22"/>
                <w:lang w:eastAsia="sk-SK"/>
              </w:rPr>
              <w:t>1,7</w:t>
            </w:r>
          </w:p>
        </w:tc>
        <w:tc>
          <w:tcPr>
            <w:tcW w:w="473" w:type="pct"/>
            <w:tcBorders>
              <w:top w:val="single" w:sz="4" w:space="0" w:color="auto"/>
              <w:left w:val="nil"/>
              <w:bottom w:val="nil"/>
              <w:right w:val="nil"/>
            </w:tcBorders>
            <w:tcMar>
              <w:left w:w="28" w:type="dxa"/>
              <w:right w:w="28" w:type="dxa"/>
            </w:tcMar>
            <w:vAlign w:val="center"/>
          </w:tcPr>
          <w:p w14:paraId="0CD0DEFF" w14:textId="72B2FBEC" w:rsidR="006C6C49" w:rsidRPr="00B3369B" w:rsidRDefault="006C6C49" w:rsidP="001E10E4">
            <w:pPr>
              <w:keepNext/>
              <w:spacing w:after="0"/>
              <w:contextualSpacing/>
              <w:jc w:val="center"/>
              <w:rPr>
                <w:b/>
                <w:i/>
                <w:sz w:val="22"/>
                <w:szCs w:val="22"/>
                <w:lang w:eastAsia="sk-SK"/>
              </w:rPr>
            </w:pPr>
            <w:r>
              <w:rPr>
                <w:b/>
                <w:i/>
                <w:sz w:val="22"/>
                <w:szCs w:val="22"/>
                <w:lang w:eastAsia="sk-SK"/>
              </w:rPr>
              <w:t>1,8</w:t>
            </w:r>
          </w:p>
        </w:tc>
        <w:tc>
          <w:tcPr>
            <w:tcW w:w="294" w:type="pct"/>
            <w:tcBorders>
              <w:top w:val="single" w:sz="4" w:space="0" w:color="auto"/>
              <w:left w:val="nil"/>
              <w:bottom w:val="nil"/>
              <w:right w:val="double" w:sz="4" w:space="0" w:color="auto"/>
            </w:tcBorders>
            <w:tcMar>
              <w:left w:w="28" w:type="dxa"/>
              <w:right w:w="28" w:type="dxa"/>
            </w:tcMar>
            <w:vAlign w:val="center"/>
          </w:tcPr>
          <w:p w14:paraId="44079EB9" w14:textId="77777777" w:rsidR="006C6C49" w:rsidRPr="00B3369B" w:rsidRDefault="006C6C49" w:rsidP="001E10E4">
            <w:pPr>
              <w:keepNext/>
              <w:spacing w:after="0"/>
              <w:contextualSpacing/>
              <w:jc w:val="center"/>
              <w:rPr>
                <w:b/>
                <w:i/>
                <w:sz w:val="22"/>
                <w:szCs w:val="22"/>
                <w:lang w:eastAsia="sk-SK"/>
              </w:rPr>
            </w:pPr>
            <w:r w:rsidRPr="00B3369B">
              <w:rPr>
                <w:b/>
                <w:i/>
                <w:sz w:val="22"/>
                <w:szCs w:val="22"/>
                <w:lang w:eastAsia="sk-SK"/>
              </w:rPr>
              <w:t>2,2</w:t>
            </w:r>
          </w:p>
        </w:tc>
      </w:tr>
      <w:tr w:rsidR="006C6C49" w14:paraId="4DDD0783" w14:textId="77777777" w:rsidTr="006C6C49">
        <w:trPr>
          <w:trHeight w:val="255"/>
        </w:trPr>
        <w:tc>
          <w:tcPr>
            <w:tcW w:w="2907" w:type="pct"/>
            <w:tcBorders>
              <w:top w:val="nil"/>
              <w:bottom w:val="nil"/>
              <w:right w:val="single" w:sz="4" w:space="0" w:color="auto"/>
            </w:tcBorders>
            <w:shd w:val="clear" w:color="auto" w:fill="auto"/>
            <w:tcMar>
              <w:left w:w="28" w:type="dxa"/>
              <w:right w:w="28" w:type="dxa"/>
            </w:tcMar>
            <w:vAlign w:val="center"/>
          </w:tcPr>
          <w:p w14:paraId="0C20AE68" w14:textId="77777777" w:rsidR="006C6C49" w:rsidRPr="00B3369B" w:rsidRDefault="006C6C49" w:rsidP="001E10E4">
            <w:pPr>
              <w:keepNext/>
              <w:spacing w:after="0"/>
              <w:contextualSpacing/>
              <w:jc w:val="left"/>
              <w:rPr>
                <w:sz w:val="22"/>
                <w:szCs w:val="22"/>
                <w:lang w:eastAsia="sk-SK"/>
              </w:rPr>
            </w:pPr>
            <w:r w:rsidRPr="00B3369B">
              <w:rPr>
                <w:sz w:val="22"/>
                <w:szCs w:val="22"/>
                <w:lang w:eastAsia="sk-SK"/>
              </w:rPr>
              <w:t xml:space="preserve">   1.1 Totálna produktivita faktorov</w:t>
            </w:r>
          </w:p>
        </w:tc>
        <w:tc>
          <w:tcPr>
            <w:tcW w:w="468" w:type="pct"/>
            <w:tcBorders>
              <w:top w:val="nil"/>
              <w:bottom w:val="nil"/>
              <w:right w:val="single" w:sz="4" w:space="0" w:color="auto"/>
            </w:tcBorders>
            <w:shd w:val="clear" w:color="auto" w:fill="DBE5F1"/>
            <w:vAlign w:val="center"/>
          </w:tcPr>
          <w:p w14:paraId="5CCF827A" w14:textId="6BF45B15" w:rsidR="006C6C49" w:rsidRPr="00B3369B" w:rsidRDefault="006C6C49" w:rsidP="001E10E4">
            <w:pPr>
              <w:keepNext/>
              <w:spacing w:after="0"/>
              <w:contextualSpacing/>
              <w:jc w:val="center"/>
              <w:rPr>
                <w:sz w:val="22"/>
                <w:szCs w:val="22"/>
                <w:lang w:eastAsia="sk-SK"/>
              </w:rPr>
            </w:pPr>
            <w:r>
              <w:rPr>
                <w:sz w:val="22"/>
                <w:szCs w:val="22"/>
                <w:lang w:eastAsia="sk-SK"/>
              </w:rPr>
              <w:t>0,9</w:t>
            </w:r>
          </w:p>
        </w:tc>
        <w:tc>
          <w:tcPr>
            <w:tcW w:w="467" w:type="pct"/>
            <w:tcBorders>
              <w:top w:val="nil"/>
              <w:left w:val="single" w:sz="4" w:space="0" w:color="auto"/>
              <w:bottom w:val="nil"/>
              <w:right w:val="single" w:sz="4" w:space="0" w:color="auto"/>
            </w:tcBorders>
            <w:shd w:val="clear" w:color="auto" w:fill="FFFFCC"/>
            <w:tcMar>
              <w:left w:w="28" w:type="dxa"/>
              <w:right w:w="28" w:type="dxa"/>
            </w:tcMar>
            <w:vAlign w:val="center"/>
          </w:tcPr>
          <w:p w14:paraId="1FCD7317" w14:textId="759150D5" w:rsidR="006C6C49" w:rsidRPr="00B3369B" w:rsidRDefault="006C6C49" w:rsidP="001E10E4">
            <w:pPr>
              <w:keepNext/>
              <w:spacing w:after="0"/>
              <w:contextualSpacing/>
              <w:jc w:val="center"/>
              <w:rPr>
                <w:bCs w:val="0"/>
                <w:sz w:val="22"/>
                <w:szCs w:val="22"/>
                <w:lang w:eastAsia="sk-SK"/>
              </w:rPr>
            </w:pPr>
            <w:r>
              <w:rPr>
                <w:bCs w:val="0"/>
                <w:sz w:val="22"/>
                <w:szCs w:val="22"/>
                <w:lang w:eastAsia="sk-SK"/>
              </w:rPr>
              <w:t>1,6</w:t>
            </w:r>
          </w:p>
        </w:tc>
        <w:tc>
          <w:tcPr>
            <w:tcW w:w="391" w:type="pct"/>
            <w:tcBorders>
              <w:top w:val="nil"/>
              <w:left w:val="single" w:sz="4" w:space="0" w:color="auto"/>
              <w:bottom w:val="nil"/>
              <w:right w:val="nil"/>
            </w:tcBorders>
            <w:tcMar>
              <w:left w:w="28" w:type="dxa"/>
              <w:right w:w="28" w:type="dxa"/>
            </w:tcMar>
            <w:vAlign w:val="center"/>
          </w:tcPr>
          <w:p w14:paraId="27C4FAFF"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1,2</w:t>
            </w:r>
          </w:p>
        </w:tc>
        <w:tc>
          <w:tcPr>
            <w:tcW w:w="473" w:type="pct"/>
            <w:tcBorders>
              <w:top w:val="nil"/>
              <w:left w:val="nil"/>
              <w:bottom w:val="nil"/>
              <w:right w:val="nil"/>
            </w:tcBorders>
            <w:tcMar>
              <w:left w:w="28" w:type="dxa"/>
              <w:right w:w="28" w:type="dxa"/>
            </w:tcMar>
            <w:vAlign w:val="center"/>
          </w:tcPr>
          <w:p w14:paraId="4ADDC09C" w14:textId="4B5A5493" w:rsidR="006C6C49" w:rsidRPr="00B3369B" w:rsidRDefault="006C6C49" w:rsidP="001E10E4">
            <w:pPr>
              <w:keepNext/>
              <w:spacing w:after="0"/>
              <w:contextualSpacing/>
              <w:jc w:val="center"/>
              <w:rPr>
                <w:sz w:val="22"/>
                <w:szCs w:val="22"/>
                <w:lang w:eastAsia="sk-SK"/>
              </w:rPr>
            </w:pPr>
            <w:r>
              <w:rPr>
                <w:sz w:val="22"/>
                <w:szCs w:val="22"/>
                <w:lang w:eastAsia="sk-SK"/>
              </w:rPr>
              <w:t>1,1</w:t>
            </w:r>
          </w:p>
        </w:tc>
        <w:tc>
          <w:tcPr>
            <w:tcW w:w="294" w:type="pct"/>
            <w:tcBorders>
              <w:top w:val="nil"/>
              <w:left w:val="nil"/>
              <w:bottom w:val="nil"/>
              <w:right w:val="double" w:sz="4" w:space="0" w:color="auto"/>
            </w:tcBorders>
            <w:tcMar>
              <w:left w:w="28" w:type="dxa"/>
              <w:right w:w="28" w:type="dxa"/>
            </w:tcMar>
            <w:vAlign w:val="center"/>
          </w:tcPr>
          <w:p w14:paraId="3832EE73" w14:textId="2ABE85B2" w:rsidR="006C6C49" w:rsidRPr="00B3369B" w:rsidRDefault="006C6C49" w:rsidP="001E10E4">
            <w:pPr>
              <w:keepNext/>
              <w:spacing w:after="0"/>
              <w:contextualSpacing/>
              <w:jc w:val="center"/>
              <w:rPr>
                <w:sz w:val="22"/>
                <w:szCs w:val="22"/>
                <w:lang w:eastAsia="sk-SK"/>
              </w:rPr>
            </w:pPr>
            <w:r w:rsidRPr="00B3369B">
              <w:rPr>
                <w:sz w:val="22"/>
                <w:szCs w:val="22"/>
                <w:lang w:eastAsia="sk-SK"/>
              </w:rPr>
              <w:t>1,</w:t>
            </w:r>
            <w:r>
              <w:rPr>
                <w:sz w:val="22"/>
                <w:szCs w:val="22"/>
                <w:lang w:eastAsia="sk-SK"/>
              </w:rPr>
              <w:t>2</w:t>
            </w:r>
          </w:p>
        </w:tc>
      </w:tr>
      <w:tr w:rsidR="006C6C49" w:rsidRPr="00B76D8E" w14:paraId="71C770D5" w14:textId="77777777" w:rsidTr="006C6C49">
        <w:trPr>
          <w:trHeight w:val="255"/>
        </w:trPr>
        <w:tc>
          <w:tcPr>
            <w:tcW w:w="2907" w:type="pct"/>
            <w:tcBorders>
              <w:top w:val="nil"/>
              <w:right w:val="single" w:sz="4" w:space="0" w:color="auto"/>
            </w:tcBorders>
            <w:shd w:val="clear" w:color="auto" w:fill="auto"/>
            <w:tcMar>
              <w:left w:w="28" w:type="dxa"/>
              <w:right w:w="28" w:type="dxa"/>
            </w:tcMar>
            <w:vAlign w:val="center"/>
            <w:hideMark/>
          </w:tcPr>
          <w:p w14:paraId="3376163D" w14:textId="77777777" w:rsidR="006C6C49" w:rsidRPr="00B3369B" w:rsidRDefault="006C6C49" w:rsidP="001E10E4">
            <w:pPr>
              <w:keepNext/>
              <w:spacing w:after="0"/>
              <w:contextualSpacing/>
              <w:jc w:val="left"/>
              <w:rPr>
                <w:sz w:val="22"/>
                <w:szCs w:val="22"/>
                <w:lang w:eastAsia="sk-SK"/>
              </w:rPr>
            </w:pPr>
            <w:r w:rsidRPr="00B3369B">
              <w:rPr>
                <w:sz w:val="22"/>
                <w:szCs w:val="22"/>
                <w:lang w:eastAsia="sk-SK"/>
              </w:rPr>
              <w:t xml:space="preserve">   1.2 Vybavenosť kapitálom</w:t>
            </w:r>
          </w:p>
        </w:tc>
        <w:tc>
          <w:tcPr>
            <w:tcW w:w="468" w:type="pct"/>
            <w:tcBorders>
              <w:top w:val="nil"/>
              <w:right w:val="single" w:sz="4" w:space="0" w:color="auto"/>
            </w:tcBorders>
            <w:shd w:val="clear" w:color="auto" w:fill="DBE5F1"/>
            <w:vAlign w:val="center"/>
          </w:tcPr>
          <w:p w14:paraId="54400058" w14:textId="17EEB3B8" w:rsidR="006C6C49" w:rsidRPr="00B3369B" w:rsidRDefault="006C6C49" w:rsidP="001E10E4">
            <w:pPr>
              <w:keepNext/>
              <w:spacing w:after="0"/>
              <w:contextualSpacing/>
              <w:jc w:val="center"/>
              <w:rPr>
                <w:sz w:val="22"/>
                <w:szCs w:val="22"/>
                <w:lang w:eastAsia="sk-SK"/>
              </w:rPr>
            </w:pPr>
            <w:r>
              <w:rPr>
                <w:sz w:val="22"/>
                <w:szCs w:val="22"/>
                <w:lang w:eastAsia="sk-SK"/>
              </w:rPr>
              <w:t>0,5</w:t>
            </w:r>
          </w:p>
        </w:tc>
        <w:tc>
          <w:tcPr>
            <w:tcW w:w="467" w:type="pct"/>
            <w:tcBorders>
              <w:top w:val="nil"/>
              <w:left w:val="single" w:sz="4" w:space="0" w:color="auto"/>
              <w:right w:val="single" w:sz="4" w:space="0" w:color="auto"/>
            </w:tcBorders>
            <w:shd w:val="clear" w:color="auto" w:fill="FFFFCC"/>
            <w:tcMar>
              <w:left w:w="28" w:type="dxa"/>
              <w:right w:w="28" w:type="dxa"/>
            </w:tcMar>
            <w:vAlign w:val="center"/>
          </w:tcPr>
          <w:p w14:paraId="365A162C" w14:textId="348ACB08" w:rsidR="006C6C49" w:rsidRPr="00B3369B" w:rsidRDefault="006C6C49" w:rsidP="001E10E4">
            <w:pPr>
              <w:keepNext/>
              <w:spacing w:after="0"/>
              <w:contextualSpacing/>
              <w:jc w:val="center"/>
              <w:rPr>
                <w:bCs w:val="0"/>
                <w:sz w:val="22"/>
                <w:szCs w:val="22"/>
                <w:lang w:eastAsia="sk-SK"/>
              </w:rPr>
            </w:pPr>
            <w:r>
              <w:rPr>
                <w:bCs w:val="0"/>
                <w:sz w:val="22"/>
                <w:szCs w:val="22"/>
                <w:lang w:eastAsia="sk-SK"/>
              </w:rPr>
              <w:t>0,6</w:t>
            </w:r>
          </w:p>
        </w:tc>
        <w:tc>
          <w:tcPr>
            <w:tcW w:w="391" w:type="pct"/>
            <w:tcBorders>
              <w:top w:val="nil"/>
              <w:left w:val="single" w:sz="4" w:space="0" w:color="auto"/>
              <w:right w:val="nil"/>
            </w:tcBorders>
            <w:tcMar>
              <w:left w:w="28" w:type="dxa"/>
              <w:right w:w="28" w:type="dxa"/>
            </w:tcMar>
            <w:vAlign w:val="center"/>
          </w:tcPr>
          <w:p w14:paraId="39116688"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0,7</w:t>
            </w:r>
          </w:p>
        </w:tc>
        <w:tc>
          <w:tcPr>
            <w:tcW w:w="473" w:type="pct"/>
            <w:tcBorders>
              <w:top w:val="nil"/>
              <w:left w:val="nil"/>
              <w:right w:val="nil"/>
            </w:tcBorders>
            <w:tcMar>
              <w:left w:w="28" w:type="dxa"/>
              <w:right w:w="28" w:type="dxa"/>
            </w:tcMar>
            <w:vAlign w:val="center"/>
          </w:tcPr>
          <w:p w14:paraId="6B97535C" w14:textId="437F1BB7" w:rsidR="006C6C49" w:rsidRPr="00B3369B" w:rsidRDefault="006C6C49" w:rsidP="001E10E4">
            <w:pPr>
              <w:keepNext/>
              <w:spacing w:after="0"/>
              <w:contextualSpacing/>
              <w:jc w:val="center"/>
              <w:rPr>
                <w:sz w:val="22"/>
                <w:szCs w:val="22"/>
                <w:lang w:eastAsia="sk-SK"/>
              </w:rPr>
            </w:pPr>
            <w:r w:rsidRPr="00B3369B">
              <w:rPr>
                <w:sz w:val="22"/>
                <w:szCs w:val="22"/>
                <w:lang w:eastAsia="sk-SK"/>
              </w:rPr>
              <w:t>0,</w:t>
            </w:r>
            <w:r>
              <w:rPr>
                <w:sz w:val="22"/>
                <w:szCs w:val="22"/>
                <w:lang w:eastAsia="sk-SK"/>
              </w:rPr>
              <w:t>6</w:t>
            </w:r>
          </w:p>
        </w:tc>
        <w:tc>
          <w:tcPr>
            <w:tcW w:w="294" w:type="pct"/>
            <w:tcBorders>
              <w:top w:val="nil"/>
              <w:left w:val="nil"/>
              <w:right w:val="double" w:sz="4" w:space="0" w:color="auto"/>
            </w:tcBorders>
            <w:tcMar>
              <w:left w:w="28" w:type="dxa"/>
              <w:right w:w="28" w:type="dxa"/>
            </w:tcMar>
            <w:vAlign w:val="center"/>
          </w:tcPr>
          <w:p w14:paraId="2765D61A" w14:textId="33A1E786" w:rsidR="006C6C49" w:rsidRPr="00B3369B" w:rsidRDefault="006C6C49" w:rsidP="001E10E4">
            <w:pPr>
              <w:keepNext/>
              <w:spacing w:after="0"/>
              <w:contextualSpacing/>
              <w:jc w:val="center"/>
              <w:rPr>
                <w:sz w:val="22"/>
                <w:szCs w:val="22"/>
                <w:lang w:eastAsia="sk-SK"/>
              </w:rPr>
            </w:pPr>
            <w:r w:rsidRPr="00B3369B">
              <w:rPr>
                <w:sz w:val="22"/>
                <w:szCs w:val="22"/>
                <w:lang w:eastAsia="sk-SK"/>
              </w:rPr>
              <w:t>0,</w:t>
            </w:r>
            <w:r>
              <w:rPr>
                <w:sz w:val="22"/>
                <w:szCs w:val="22"/>
                <w:lang w:eastAsia="sk-SK"/>
              </w:rPr>
              <w:t>9</w:t>
            </w:r>
          </w:p>
        </w:tc>
      </w:tr>
      <w:tr w:rsidR="006C6C49" w:rsidRPr="00B76D8E" w14:paraId="054621F1" w14:textId="77777777" w:rsidTr="006C6C49">
        <w:trPr>
          <w:trHeight w:val="255"/>
        </w:trPr>
        <w:tc>
          <w:tcPr>
            <w:tcW w:w="2907" w:type="pct"/>
            <w:tcBorders>
              <w:right w:val="single" w:sz="4" w:space="0" w:color="auto"/>
            </w:tcBorders>
            <w:shd w:val="clear" w:color="auto" w:fill="auto"/>
            <w:tcMar>
              <w:left w:w="28" w:type="dxa"/>
              <w:right w:w="28" w:type="dxa"/>
            </w:tcMar>
            <w:vAlign w:val="center"/>
          </w:tcPr>
          <w:p w14:paraId="0B40A0E8" w14:textId="5E933A26" w:rsidR="006C6C49" w:rsidRPr="00B3369B" w:rsidRDefault="006C6C49" w:rsidP="001E10E4">
            <w:pPr>
              <w:keepNext/>
              <w:spacing w:after="0"/>
              <w:contextualSpacing/>
              <w:jc w:val="left"/>
              <w:rPr>
                <w:b/>
                <w:i/>
                <w:sz w:val="22"/>
                <w:szCs w:val="22"/>
                <w:lang w:eastAsia="sk-SK"/>
              </w:rPr>
            </w:pPr>
            <w:r w:rsidRPr="00B3369B">
              <w:rPr>
                <w:b/>
                <w:i/>
                <w:sz w:val="22"/>
                <w:szCs w:val="22"/>
                <w:lang w:eastAsia="sk-SK"/>
              </w:rPr>
              <w:t>2 Trh práce</w:t>
            </w:r>
            <w:r>
              <w:rPr>
                <w:b/>
                <w:i/>
                <w:sz w:val="22"/>
                <w:szCs w:val="22"/>
                <w:lang w:eastAsia="sk-SK"/>
              </w:rPr>
              <w:t xml:space="preserve"> (2.1 + 2.2 + 2.3 + 2.4)</w:t>
            </w:r>
          </w:p>
        </w:tc>
        <w:tc>
          <w:tcPr>
            <w:tcW w:w="468" w:type="pct"/>
            <w:tcBorders>
              <w:right w:val="single" w:sz="4" w:space="0" w:color="auto"/>
            </w:tcBorders>
            <w:shd w:val="clear" w:color="auto" w:fill="DBE5F1"/>
            <w:vAlign w:val="center"/>
          </w:tcPr>
          <w:p w14:paraId="49698BC5" w14:textId="77777777" w:rsidR="006C6C49" w:rsidRPr="00B3369B" w:rsidRDefault="006C6C49" w:rsidP="001E10E4">
            <w:pPr>
              <w:keepNext/>
              <w:spacing w:after="0"/>
              <w:contextualSpacing/>
              <w:jc w:val="center"/>
              <w:rPr>
                <w:b/>
                <w:i/>
                <w:sz w:val="22"/>
                <w:szCs w:val="22"/>
                <w:lang w:eastAsia="sk-SK"/>
              </w:rPr>
            </w:pPr>
            <w:r w:rsidRPr="00B3369B">
              <w:rPr>
                <w:b/>
                <w:i/>
                <w:sz w:val="22"/>
                <w:szCs w:val="22"/>
                <w:lang w:eastAsia="sk-SK"/>
              </w:rPr>
              <w:t>-0,1</w:t>
            </w:r>
          </w:p>
        </w:tc>
        <w:tc>
          <w:tcPr>
            <w:tcW w:w="467" w:type="pct"/>
            <w:tcBorders>
              <w:left w:val="single" w:sz="4" w:space="0" w:color="auto"/>
              <w:right w:val="single" w:sz="4" w:space="0" w:color="auto"/>
            </w:tcBorders>
            <w:shd w:val="clear" w:color="auto" w:fill="FFFFCC"/>
            <w:tcMar>
              <w:left w:w="28" w:type="dxa"/>
              <w:right w:w="28" w:type="dxa"/>
            </w:tcMar>
            <w:vAlign w:val="center"/>
          </w:tcPr>
          <w:p w14:paraId="7123D3D6" w14:textId="4786178C" w:rsidR="006C6C49" w:rsidRPr="00B3369B" w:rsidRDefault="006C6C49" w:rsidP="001E10E4">
            <w:pPr>
              <w:keepNext/>
              <w:spacing w:after="0"/>
              <w:contextualSpacing/>
              <w:jc w:val="center"/>
              <w:rPr>
                <w:b/>
                <w:bCs w:val="0"/>
                <w:i/>
                <w:sz w:val="22"/>
                <w:szCs w:val="22"/>
                <w:lang w:eastAsia="sk-SK"/>
              </w:rPr>
            </w:pPr>
            <w:r>
              <w:rPr>
                <w:b/>
                <w:bCs w:val="0"/>
                <w:i/>
                <w:sz w:val="22"/>
                <w:szCs w:val="22"/>
                <w:lang w:eastAsia="sk-SK"/>
              </w:rPr>
              <w:t>-0,7</w:t>
            </w:r>
          </w:p>
        </w:tc>
        <w:tc>
          <w:tcPr>
            <w:tcW w:w="391" w:type="pct"/>
            <w:tcBorders>
              <w:left w:val="single" w:sz="4" w:space="0" w:color="auto"/>
              <w:right w:val="nil"/>
            </w:tcBorders>
            <w:tcMar>
              <w:left w:w="28" w:type="dxa"/>
              <w:right w:w="28" w:type="dxa"/>
            </w:tcMar>
            <w:vAlign w:val="center"/>
          </w:tcPr>
          <w:p w14:paraId="0682BFB1" w14:textId="4B18C41D" w:rsidR="006C6C49" w:rsidRPr="00B3369B" w:rsidRDefault="006C6C49" w:rsidP="001E10E4">
            <w:pPr>
              <w:keepNext/>
              <w:spacing w:after="0"/>
              <w:contextualSpacing/>
              <w:jc w:val="center"/>
              <w:rPr>
                <w:b/>
                <w:i/>
                <w:sz w:val="22"/>
                <w:szCs w:val="22"/>
                <w:lang w:eastAsia="sk-SK"/>
              </w:rPr>
            </w:pPr>
            <w:r w:rsidRPr="00B3369B">
              <w:rPr>
                <w:b/>
                <w:i/>
                <w:sz w:val="22"/>
                <w:szCs w:val="22"/>
                <w:lang w:eastAsia="sk-SK"/>
              </w:rPr>
              <w:t>-0,</w:t>
            </w:r>
            <w:r>
              <w:rPr>
                <w:b/>
                <w:i/>
                <w:sz w:val="22"/>
                <w:szCs w:val="22"/>
                <w:lang w:eastAsia="sk-SK"/>
              </w:rPr>
              <w:t>1</w:t>
            </w:r>
          </w:p>
        </w:tc>
        <w:tc>
          <w:tcPr>
            <w:tcW w:w="473" w:type="pct"/>
            <w:tcBorders>
              <w:left w:val="nil"/>
              <w:right w:val="nil"/>
            </w:tcBorders>
            <w:tcMar>
              <w:left w:w="28" w:type="dxa"/>
              <w:right w:w="28" w:type="dxa"/>
            </w:tcMar>
            <w:vAlign w:val="center"/>
          </w:tcPr>
          <w:p w14:paraId="6100A205" w14:textId="4DAA5531" w:rsidR="006C6C49" w:rsidRPr="00B3369B" w:rsidRDefault="006C6C49" w:rsidP="001E10E4">
            <w:pPr>
              <w:keepNext/>
              <w:spacing w:after="0"/>
              <w:contextualSpacing/>
              <w:jc w:val="center"/>
              <w:rPr>
                <w:b/>
                <w:i/>
                <w:sz w:val="22"/>
                <w:szCs w:val="22"/>
                <w:lang w:eastAsia="sk-SK"/>
              </w:rPr>
            </w:pPr>
            <w:r>
              <w:rPr>
                <w:b/>
                <w:i/>
                <w:sz w:val="22"/>
                <w:szCs w:val="22"/>
                <w:lang w:eastAsia="sk-SK"/>
              </w:rPr>
              <w:t>-0,3</w:t>
            </w:r>
          </w:p>
        </w:tc>
        <w:tc>
          <w:tcPr>
            <w:tcW w:w="294" w:type="pct"/>
            <w:tcBorders>
              <w:left w:val="nil"/>
              <w:right w:val="double" w:sz="4" w:space="0" w:color="auto"/>
            </w:tcBorders>
            <w:tcMar>
              <w:left w:w="28" w:type="dxa"/>
              <w:right w:w="28" w:type="dxa"/>
            </w:tcMar>
            <w:vAlign w:val="center"/>
          </w:tcPr>
          <w:p w14:paraId="705486E9" w14:textId="77777777" w:rsidR="006C6C49" w:rsidRPr="00B3369B" w:rsidRDefault="006C6C49" w:rsidP="001E10E4">
            <w:pPr>
              <w:keepNext/>
              <w:spacing w:after="0"/>
              <w:contextualSpacing/>
              <w:jc w:val="center"/>
              <w:rPr>
                <w:b/>
                <w:i/>
                <w:sz w:val="22"/>
                <w:szCs w:val="22"/>
                <w:lang w:eastAsia="sk-SK"/>
              </w:rPr>
            </w:pPr>
            <w:r w:rsidRPr="00B3369B">
              <w:rPr>
                <w:b/>
                <w:i/>
                <w:sz w:val="22"/>
                <w:szCs w:val="22"/>
                <w:lang w:eastAsia="sk-SK"/>
              </w:rPr>
              <w:t>-0,6</w:t>
            </w:r>
          </w:p>
        </w:tc>
      </w:tr>
      <w:tr w:rsidR="006C6C49" w:rsidRPr="00B76D8E" w14:paraId="36DEF50E" w14:textId="77777777" w:rsidTr="006C6C49">
        <w:trPr>
          <w:trHeight w:val="255"/>
        </w:trPr>
        <w:tc>
          <w:tcPr>
            <w:tcW w:w="2907" w:type="pct"/>
            <w:tcBorders>
              <w:right w:val="single" w:sz="4" w:space="0" w:color="auto"/>
            </w:tcBorders>
            <w:shd w:val="clear" w:color="auto" w:fill="auto"/>
            <w:tcMar>
              <w:left w:w="28" w:type="dxa"/>
              <w:right w:w="28" w:type="dxa"/>
            </w:tcMar>
            <w:vAlign w:val="center"/>
          </w:tcPr>
          <w:p w14:paraId="6E90D272" w14:textId="77777777" w:rsidR="006C6C49" w:rsidRPr="00B3369B" w:rsidRDefault="006C6C49" w:rsidP="001E10E4">
            <w:pPr>
              <w:keepNext/>
              <w:spacing w:after="0"/>
              <w:contextualSpacing/>
              <w:jc w:val="left"/>
              <w:rPr>
                <w:sz w:val="22"/>
                <w:szCs w:val="22"/>
                <w:lang w:eastAsia="sk-SK"/>
              </w:rPr>
            </w:pPr>
            <w:r w:rsidRPr="00B3369B">
              <w:rPr>
                <w:sz w:val="22"/>
                <w:szCs w:val="22"/>
                <w:lang w:eastAsia="sk-SK"/>
              </w:rPr>
              <w:t xml:space="preserve">   2.1 Celkový počet obyvateľov</w:t>
            </w:r>
          </w:p>
        </w:tc>
        <w:tc>
          <w:tcPr>
            <w:tcW w:w="468" w:type="pct"/>
            <w:tcBorders>
              <w:right w:val="single" w:sz="4" w:space="0" w:color="auto"/>
            </w:tcBorders>
            <w:shd w:val="clear" w:color="auto" w:fill="DBE5F1"/>
            <w:vAlign w:val="center"/>
          </w:tcPr>
          <w:p w14:paraId="44E64C96"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0,1</w:t>
            </w:r>
          </w:p>
        </w:tc>
        <w:tc>
          <w:tcPr>
            <w:tcW w:w="467" w:type="pct"/>
            <w:tcBorders>
              <w:left w:val="single" w:sz="4" w:space="0" w:color="auto"/>
              <w:right w:val="single" w:sz="4" w:space="0" w:color="auto"/>
            </w:tcBorders>
            <w:shd w:val="clear" w:color="auto" w:fill="FFFFCC"/>
            <w:tcMar>
              <w:left w:w="28" w:type="dxa"/>
              <w:right w:w="28" w:type="dxa"/>
            </w:tcMar>
            <w:vAlign w:val="center"/>
          </w:tcPr>
          <w:p w14:paraId="5214E2FE" w14:textId="7FC86B2C" w:rsidR="006C6C49" w:rsidRPr="00B3369B" w:rsidRDefault="006C6C49" w:rsidP="001E10E4">
            <w:pPr>
              <w:keepNext/>
              <w:spacing w:after="0"/>
              <w:contextualSpacing/>
              <w:jc w:val="center"/>
              <w:rPr>
                <w:bCs w:val="0"/>
                <w:sz w:val="22"/>
                <w:szCs w:val="22"/>
                <w:lang w:eastAsia="sk-SK"/>
              </w:rPr>
            </w:pPr>
            <w:r>
              <w:rPr>
                <w:bCs w:val="0"/>
                <w:sz w:val="22"/>
                <w:szCs w:val="22"/>
                <w:lang w:eastAsia="sk-SK"/>
              </w:rPr>
              <w:t>-0,4</w:t>
            </w:r>
          </w:p>
        </w:tc>
        <w:tc>
          <w:tcPr>
            <w:tcW w:w="391" w:type="pct"/>
            <w:tcBorders>
              <w:left w:val="single" w:sz="4" w:space="0" w:color="auto"/>
              <w:right w:val="nil"/>
            </w:tcBorders>
            <w:tcMar>
              <w:left w:w="28" w:type="dxa"/>
              <w:right w:w="28" w:type="dxa"/>
            </w:tcMar>
            <w:vAlign w:val="center"/>
          </w:tcPr>
          <w:p w14:paraId="06551593" w14:textId="4DD970C6" w:rsidR="006C6C49" w:rsidRPr="00B3369B" w:rsidRDefault="006C6C49" w:rsidP="001E10E4">
            <w:pPr>
              <w:keepNext/>
              <w:spacing w:after="0"/>
              <w:contextualSpacing/>
              <w:jc w:val="center"/>
              <w:rPr>
                <w:sz w:val="22"/>
                <w:szCs w:val="22"/>
                <w:lang w:eastAsia="sk-SK"/>
              </w:rPr>
            </w:pPr>
            <w:r>
              <w:rPr>
                <w:sz w:val="22"/>
                <w:szCs w:val="22"/>
                <w:lang w:eastAsia="sk-SK"/>
              </w:rPr>
              <w:t>0,1</w:t>
            </w:r>
          </w:p>
        </w:tc>
        <w:tc>
          <w:tcPr>
            <w:tcW w:w="473" w:type="pct"/>
            <w:tcBorders>
              <w:left w:val="nil"/>
              <w:right w:val="nil"/>
            </w:tcBorders>
            <w:tcMar>
              <w:left w:w="28" w:type="dxa"/>
              <w:right w:w="28" w:type="dxa"/>
            </w:tcMar>
            <w:vAlign w:val="center"/>
          </w:tcPr>
          <w:p w14:paraId="09296014" w14:textId="0E5B23C9" w:rsidR="006C6C49" w:rsidRPr="00B3369B" w:rsidRDefault="006C6C49" w:rsidP="001E10E4">
            <w:pPr>
              <w:keepNext/>
              <w:spacing w:after="0"/>
              <w:contextualSpacing/>
              <w:jc w:val="center"/>
              <w:rPr>
                <w:sz w:val="22"/>
                <w:szCs w:val="22"/>
                <w:lang w:eastAsia="sk-SK"/>
              </w:rPr>
            </w:pPr>
            <w:r>
              <w:rPr>
                <w:sz w:val="22"/>
                <w:szCs w:val="22"/>
                <w:lang w:eastAsia="sk-SK"/>
              </w:rPr>
              <w:t>-</w:t>
            </w:r>
            <w:r w:rsidRPr="00B3369B">
              <w:rPr>
                <w:sz w:val="22"/>
                <w:szCs w:val="22"/>
                <w:lang w:eastAsia="sk-SK"/>
              </w:rPr>
              <w:t>0,2</w:t>
            </w:r>
          </w:p>
        </w:tc>
        <w:tc>
          <w:tcPr>
            <w:tcW w:w="294" w:type="pct"/>
            <w:tcBorders>
              <w:left w:val="nil"/>
              <w:right w:val="double" w:sz="4" w:space="0" w:color="auto"/>
            </w:tcBorders>
            <w:tcMar>
              <w:left w:w="28" w:type="dxa"/>
              <w:right w:w="28" w:type="dxa"/>
            </w:tcMar>
            <w:vAlign w:val="center"/>
          </w:tcPr>
          <w:p w14:paraId="1357912C"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-0,3</w:t>
            </w:r>
          </w:p>
        </w:tc>
      </w:tr>
      <w:tr w:rsidR="006C6C49" w:rsidRPr="00B76D8E" w14:paraId="43F0A443" w14:textId="77777777" w:rsidTr="006C6C49">
        <w:trPr>
          <w:trHeight w:val="255"/>
        </w:trPr>
        <w:tc>
          <w:tcPr>
            <w:tcW w:w="2907" w:type="pct"/>
            <w:tcBorders>
              <w:right w:val="single" w:sz="4" w:space="0" w:color="auto"/>
            </w:tcBorders>
            <w:shd w:val="clear" w:color="auto" w:fill="auto"/>
            <w:tcMar>
              <w:left w:w="28" w:type="dxa"/>
              <w:right w:w="28" w:type="dxa"/>
            </w:tcMar>
            <w:vAlign w:val="center"/>
          </w:tcPr>
          <w:p w14:paraId="226BE311" w14:textId="77777777" w:rsidR="006C6C49" w:rsidRPr="00B3369B" w:rsidRDefault="006C6C49" w:rsidP="001E10E4">
            <w:pPr>
              <w:keepNext/>
              <w:spacing w:after="0"/>
              <w:contextualSpacing/>
              <w:jc w:val="left"/>
              <w:rPr>
                <w:sz w:val="22"/>
                <w:szCs w:val="22"/>
                <w:lang w:eastAsia="sk-SK"/>
              </w:rPr>
            </w:pPr>
            <w:r w:rsidRPr="00B3369B">
              <w:rPr>
                <w:sz w:val="22"/>
                <w:szCs w:val="22"/>
                <w:lang w:eastAsia="sk-SK"/>
              </w:rPr>
              <w:t xml:space="preserve">   2.2 Priemerná miera zamestnanosti</w:t>
            </w:r>
          </w:p>
        </w:tc>
        <w:tc>
          <w:tcPr>
            <w:tcW w:w="468" w:type="pct"/>
            <w:tcBorders>
              <w:right w:val="single" w:sz="4" w:space="0" w:color="auto"/>
            </w:tcBorders>
            <w:shd w:val="clear" w:color="auto" w:fill="DBE5F1"/>
            <w:vAlign w:val="center"/>
          </w:tcPr>
          <w:p w14:paraId="1FF2D9DF"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0,1</w:t>
            </w:r>
          </w:p>
        </w:tc>
        <w:tc>
          <w:tcPr>
            <w:tcW w:w="467" w:type="pct"/>
            <w:tcBorders>
              <w:left w:val="single" w:sz="4" w:space="0" w:color="auto"/>
              <w:right w:val="single" w:sz="4" w:space="0" w:color="auto"/>
            </w:tcBorders>
            <w:shd w:val="clear" w:color="auto" w:fill="FFFFCC"/>
            <w:tcMar>
              <w:left w:w="28" w:type="dxa"/>
              <w:right w:w="28" w:type="dxa"/>
            </w:tcMar>
            <w:vAlign w:val="center"/>
          </w:tcPr>
          <w:p w14:paraId="429CF98F" w14:textId="014AF2C9" w:rsidR="006C6C49" w:rsidRPr="00B3369B" w:rsidRDefault="006C6C49" w:rsidP="001E10E4">
            <w:pPr>
              <w:keepNext/>
              <w:spacing w:after="0"/>
              <w:contextualSpacing/>
              <w:jc w:val="center"/>
              <w:rPr>
                <w:bCs w:val="0"/>
                <w:sz w:val="22"/>
                <w:szCs w:val="22"/>
                <w:lang w:eastAsia="sk-SK"/>
              </w:rPr>
            </w:pPr>
            <w:r>
              <w:rPr>
                <w:bCs w:val="0"/>
                <w:sz w:val="22"/>
                <w:szCs w:val="22"/>
                <w:lang w:eastAsia="sk-SK"/>
              </w:rPr>
              <w:t>0,0</w:t>
            </w:r>
          </w:p>
        </w:tc>
        <w:tc>
          <w:tcPr>
            <w:tcW w:w="391" w:type="pct"/>
            <w:tcBorders>
              <w:left w:val="single" w:sz="4" w:space="0" w:color="auto"/>
              <w:right w:val="nil"/>
            </w:tcBorders>
            <w:tcMar>
              <w:left w:w="28" w:type="dxa"/>
              <w:right w:w="28" w:type="dxa"/>
            </w:tcMar>
            <w:vAlign w:val="center"/>
          </w:tcPr>
          <w:p w14:paraId="1B1EA99C" w14:textId="3B5945F1" w:rsidR="006C6C49" w:rsidRPr="00B3369B" w:rsidRDefault="006C6C49" w:rsidP="001E10E4">
            <w:pPr>
              <w:keepNext/>
              <w:spacing w:after="0"/>
              <w:contextualSpacing/>
              <w:jc w:val="center"/>
              <w:rPr>
                <w:sz w:val="22"/>
                <w:szCs w:val="22"/>
                <w:lang w:eastAsia="sk-SK"/>
              </w:rPr>
            </w:pPr>
            <w:r w:rsidRPr="00B3369B">
              <w:rPr>
                <w:sz w:val="22"/>
                <w:szCs w:val="22"/>
                <w:lang w:eastAsia="sk-SK"/>
              </w:rPr>
              <w:t>0,</w:t>
            </w:r>
            <w:r>
              <w:rPr>
                <w:sz w:val="22"/>
                <w:szCs w:val="22"/>
                <w:lang w:eastAsia="sk-SK"/>
              </w:rPr>
              <w:t>1</w:t>
            </w:r>
          </w:p>
        </w:tc>
        <w:tc>
          <w:tcPr>
            <w:tcW w:w="473" w:type="pct"/>
            <w:tcBorders>
              <w:left w:val="nil"/>
              <w:right w:val="nil"/>
            </w:tcBorders>
            <w:tcMar>
              <w:left w:w="28" w:type="dxa"/>
              <w:right w:w="28" w:type="dxa"/>
            </w:tcMar>
            <w:vAlign w:val="center"/>
          </w:tcPr>
          <w:p w14:paraId="025D842B" w14:textId="510B8271" w:rsidR="006C6C49" w:rsidRPr="00B3369B" w:rsidRDefault="006C6C49" w:rsidP="001E10E4">
            <w:pPr>
              <w:keepNext/>
              <w:spacing w:after="0"/>
              <w:contextualSpacing/>
              <w:jc w:val="center"/>
              <w:rPr>
                <w:sz w:val="22"/>
                <w:szCs w:val="22"/>
                <w:lang w:eastAsia="sk-SK"/>
              </w:rPr>
            </w:pPr>
            <w:r>
              <w:rPr>
                <w:sz w:val="22"/>
                <w:szCs w:val="22"/>
                <w:lang w:eastAsia="sk-SK"/>
              </w:rPr>
              <w:t>0,1</w:t>
            </w:r>
          </w:p>
        </w:tc>
        <w:tc>
          <w:tcPr>
            <w:tcW w:w="294" w:type="pct"/>
            <w:tcBorders>
              <w:left w:val="nil"/>
              <w:right w:val="double" w:sz="4" w:space="0" w:color="auto"/>
            </w:tcBorders>
            <w:tcMar>
              <w:left w:w="28" w:type="dxa"/>
              <w:right w:w="28" w:type="dxa"/>
            </w:tcMar>
            <w:vAlign w:val="center"/>
          </w:tcPr>
          <w:p w14:paraId="58A40577" w14:textId="031AAF51" w:rsidR="006C6C49" w:rsidRPr="00B3369B" w:rsidRDefault="006C6C49" w:rsidP="001E10E4">
            <w:pPr>
              <w:keepNext/>
              <w:spacing w:after="0"/>
              <w:contextualSpacing/>
              <w:jc w:val="center"/>
              <w:rPr>
                <w:sz w:val="22"/>
                <w:szCs w:val="22"/>
                <w:lang w:eastAsia="sk-SK"/>
              </w:rPr>
            </w:pPr>
            <w:r>
              <w:rPr>
                <w:sz w:val="22"/>
                <w:szCs w:val="22"/>
                <w:lang w:eastAsia="sk-SK"/>
              </w:rPr>
              <w:t>0,0</w:t>
            </w:r>
          </w:p>
        </w:tc>
      </w:tr>
      <w:tr w:rsidR="006C6C49" w:rsidRPr="00B76D8E" w14:paraId="5408BFF5" w14:textId="77777777" w:rsidTr="006C6C49">
        <w:trPr>
          <w:trHeight w:val="255"/>
        </w:trPr>
        <w:tc>
          <w:tcPr>
            <w:tcW w:w="2907" w:type="pct"/>
            <w:tcBorders>
              <w:bottom w:val="nil"/>
              <w:right w:val="single" w:sz="4" w:space="0" w:color="auto"/>
            </w:tcBorders>
            <w:shd w:val="clear" w:color="auto" w:fill="auto"/>
            <w:tcMar>
              <w:left w:w="28" w:type="dxa"/>
              <w:right w:w="28" w:type="dxa"/>
            </w:tcMar>
            <w:vAlign w:val="center"/>
            <w:hideMark/>
          </w:tcPr>
          <w:p w14:paraId="01DA6CF2" w14:textId="77777777" w:rsidR="006C6C49" w:rsidRPr="00B3369B" w:rsidRDefault="006C6C49" w:rsidP="001E10E4">
            <w:pPr>
              <w:keepNext/>
              <w:spacing w:after="0"/>
              <w:contextualSpacing/>
              <w:jc w:val="left"/>
              <w:rPr>
                <w:sz w:val="22"/>
                <w:szCs w:val="22"/>
                <w:lang w:eastAsia="sk-SK"/>
              </w:rPr>
            </w:pPr>
            <w:r w:rsidRPr="00B3369B">
              <w:rPr>
                <w:sz w:val="22"/>
                <w:szCs w:val="22"/>
                <w:lang w:eastAsia="sk-SK"/>
              </w:rPr>
              <w:t xml:space="preserve">   2.3 Podiel obyvateľstva v produktívnom veku</w:t>
            </w:r>
          </w:p>
        </w:tc>
        <w:tc>
          <w:tcPr>
            <w:tcW w:w="468" w:type="pct"/>
            <w:tcBorders>
              <w:bottom w:val="nil"/>
              <w:right w:val="single" w:sz="4" w:space="0" w:color="auto"/>
            </w:tcBorders>
            <w:shd w:val="clear" w:color="auto" w:fill="DBE5F1"/>
            <w:vAlign w:val="center"/>
          </w:tcPr>
          <w:p w14:paraId="339221C8"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-0,2</w:t>
            </w:r>
          </w:p>
        </w:tc>
        <w:tc>
          <w:tcPr>
            <w:tcW w:w="467" w:type="pct"/>
            <w:tcBorders>
              <w:left w:val="single" w:sz="4" w:space="0" w:color="auto"/>
              <w:bottom w:val="nil"/>
              <w:right w:val="single" w:sz="4" w:space="0" w:color="auto"/>
            </w:tcBorders>
            <w:shd w:val="clear" w:color="auto" w:fill="FFFFCC"/>
            <w:tcMar>
              <w:left w:w="28" w:type="dxa"/>
              <w:right w:w="28" w:type="dxa"/>
            </w:tcMar>
            <w:vAlign w:val="center"/>
          </w:tcPr>
          <w:p w14:paraId="0826D366" w14:textId="77777777" w:rsidR="006C6C49" w:rsidRPr="00B3369B" w:rsidRDefault="006C6C49" w:rsidP="001E10E4">
            <w:pPr>
              <w:keepNext/>
              <w:spacing w:after="0"/>
              <w:contextualSpacing/>
              <w:jc w:val="center"/>
              <w:rPr>
                <w:bCs w:val="0"/>
                <w:sz w:val="22"/>
                <w:szCs w:val="22"/>
                <w:lang w:eastAsia="sk-SK"/>
              </w:rPr>
            </w:pPr>
            <w:r w:rsidRPr="00B3369B">
              <w:rPr>
                <w:bCs w:val="0"/>
                <w:sz w:val="22"/>
                <w:szCs w:val="22"/>
                <w:lang w:eastAsia="sk-SK"/>
              </w:rPr>
              <w:t>-0,3</w:t>
            </w:r>
          </w:p>
        </w:tc>
        <w:tc>
          <w:tcPr>
            <w:tcW w:w="391" w:type="pct"/>
            <w:tcBorders>
              <w:left w:val="single" w:sz="4" w:space="0" w:color="auto"/>
              <w:bottom w:val="nil"/>
              <w:right w:val="nil"/>
            </w:tcBorders>
            <w:tcMar>
              <w:left w:w="28" w:type="dxa"/>
              <w:right w:w="28" w:type="dxa"/>
            </w:tcMar>
            <w:vAlign w:val="center"/>
          </w:tcPr>
          <w:p w14:paraId="54889D16"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-0,3</w:t>
            </w:r>
          </w:p>
        </w:tc>
        <w:tc>
          <w:tcPr>
            <w:tcW w:w="473" w:type="pct"/>
            <w:tcBorders>
              <w:left w:val="nil"/>
              <w:bottom w:val="nil"/>
              <w:right w:val="nil"/>
            </w:tcBorders>
            <w:tcMar>
              <w:left w:w="28" w:type="dxa"/>
              <w:right w:w="28" w:type="dxa"/>
            </w:tcMar>
            <w:vAlign w:val="center"/>
          </w:tcPr>
          <w:p w14:paraId="17FF3534" w14:textId="5D7766A5" w:rsidR="006C6C49" w:rsidRPr="00B3369B" w:rsidRDefault="006C6C49" w:rsidP="001E10E4">
            <w:pPr>
              <w:keepNext/>
              <w:spacing w:after="0"/>
              <w:contextualSpacing/>
              <w:jc w:val="center"/>
              <w:rPr>
                <w:sz w:val="22"/>
                <w:szCs w:val="22"/>
                <w:lang w:eastAsia="sk-SK"/>
              </w:rPr>
            </w:pPr>
            <w:r>
              <w:rPr>
                <w:sz w:val="22"/>
                <w:szCs w:val="22"/>
                <w:lang w:eastAsia="sk-SK"/>
              </w:rPr>
              <w:t>-0,3</w:t>
            </w:r>
          </w:p>
        </w:tc>
        <w:tc>
          <w:tcPr>
            <w:tcW w:w="294" w:type="pct"/>
            <w:tcBorders>
              <w:left w:val="nil"/>
              <w:bottom w:val="nil"/>
              <w:right w:val="double" w:sz="4" w:space="0" w:color="auto"/>
            </w:tcBorders>
            <w:tcMar>
              <w:left w:w="28" w:type="dxa"/>
              <w:right w:w="28" w:type="dxa"/>
            </w:tcMar>
            <w:vAlign w:val="center"/>
          </w:tcPr>
          <w:p w14:paraId="34A8C80F"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-0,3</w:t>
            </w:r>
          </w:p>
        </w:tc>
      </w:tr>
      <w:tr w:rsidR="006C6C49" w14:paraId="42C10166" w14:textId="77777777" w:rsidTr="006C6C49">
        <w:trPr>
          <w:trHeight w:val="255"/>
        </w:trPr>
        <w:tc>
          <w:tcPr>
            <w:tcW w:w="2907" w:type="pct"/>
            <w:tcBorders>
              <w:bottom w:val="single" w:sz="4" w:space="0" w:color="auto"/>
              <w:right w:val="single" w:sz="4" w:space="0" w:color="auto"/>
            </w:tcBorders>
            <w:shd w:val="clear" w:color="auto" w:fill="auto"/>
            <w:tcMar>
              <w:left w:w="28" w:type="dxa"/>
              <w:right w:w="28" w:type="dxa"/>
            </w:tcMar>
            <w:vAlign w:val="center"/>
          </w:tcPr>
          <w:p w14:paraId="6EB8F33E" w14:textId="77777777" w:rsidR="006C6C49" w:rsidRPr="00B3369B" w:rsidRDefault="006C6C49" w:rsidP="001E10E4">
            <w:pPr>
              <w:keepNext/>
              <w:spacing w:after="0"/>
              <w:contextualSpacing/>
              <w:jc w:val="left"/>
              <w:rPr>
                <w:sz w:val="22"/>
                <w:szCs w:val="22"/>
                <w:lang w:eastAsia="sk-SK"/>
              </w:rPr>
            </w:pPr>
            <w:r w:rsidRPr="00B3369B">
              <w:rPr>
                <w:sz w:val="22"/>
                <w:szCs w:val="22"/>
                <w:lang w:eastAsia="sk-SK"/>
              </w:rPr>
              <w:t xml:space="preserve">   2.4 Zmena v počte odpracovaných hodín</w:t>
            </w:r>
          </w:p>
        </w:tc>
        <w:tc>
          <w:tcPr>
            <w:tcW w:w="468" w:type="pct"/>
            <w:tcBorders>
              <w:bottom w:val="single" w:sz="4" w:space="0" w:color="auto"/>
              <w:right w:val="single" w:sz="4" w:space="0" w:color="auto"/>
            </w:tcBorders>
            <w:shd w:val="clear" w:color="auto" w:fill="DBE5F1"/>
            <w:vAlign w:val="center"/>
          </w:tcPr>
          <w:p w14:paraId="4858782D" w14:textId="3278FBBF" w:rsidR="006C6C49" w:rsidRPr="00B3369B" w:rsidRDefault="006C6C49" w:rsidP="001E10E4">
            <w:pPr>
              <w:keepNext/>
              <w:spacing w:after="0"/>
              <w:contextualSpacing/>
              <w:jc w:val="center"/>
              <w:rPr>
                <w:sz w:val="22"/>
                <w:szCs w:val="22"/>
                <w:lang w:eastAsia="sk-SK"/>
              </w:rPr>
            </w:pPr>
            <w:r>
              <w:rPr>
                <w:sz w:val="22"/>
                <w:szCs w:val="22"/>
                <w:lang w:eastAsia="sk-SK"/>
              </w:rPr>
              <w:t>0,0</w:t>
            </w:r>
          </w:p>
        </w:tc>
        <w:tc>
          <w:tcPr>
            <w:tcW w:w="467" w:type="pct"/>
            <w:tcBorders>
              <w:left w:val="single" w:sz="4" w:space="0" w:color="auto"/>
              <w:bottom w:val="single" w:sz="4" w:space="0" w:color="auto"/>
              <w:right w:val="single" w:sz="4" w:space="0" w:color="auto"/>
            </w:tcBorders>
            <w:shd w:val="clear" w:color="auto" w:fill="FFFFCC"/>
            <w:tcMar>
              <w:left w:w="28" w:type="dxa"/>
              <w:right w:w="28" w:type="dxa"/>
            </w:tcMar>
            <w:vAlign w:val="center"/>
          </w:tcPr>
          <w:p w14:paraId="05072A7F" w14:textId="77777777" w:rsidR="006C6C49" w:rsidRPr="00B3369B" w:rsidRDefault="006C6C49" w:rsidP="001E10E4">
            <w:pPr>
              <w:keepNext/>
              <w:spacing w:after="0"/>
              <w:contextualSpacing/>
              <w:jc w:val="center"/>
              <w:rPr>
                <w:bCs w:val="0"/>
                <w:sz w:val="22"/>
                <w:szCs w:val="22"/>
                <w:lang w:eastAsia="sk-SK"/>
              </w:rPr>
            </w:pPr>
            <w:r w:rsidRPr="00B3369B">
              <w:rPr>
                <w:bCs w:val="0"/>
                <w:sz w:val="22"/>
                <w:szCs w:val="22"/>
                <w:lang w:eastAsia="sk-SK"/>
              </w:rPr>
              <w:t>0,0</w:t>
            </w:r>
          </w:p>
        </w:tc>
        <w:tc>
          <w:tcPr>
            <w:tcW w:w="391" w:type="pct"/>
            <w:tcBorders>
              <w:left w:val="single" w:sz="4" w:space="0" w:color="auto"/>
              <w:bottom w:val="single" w:sz="4" w:space="0" w:color="auto"/>
              <w:right w:val="nil"/>
            </w:tcBorders>
            <w:tcMar>
              <w:left w:w="28" w:type="dxa"/>
              <w:right w:w="28" w:type="dxa"/>
            </w:tcMar>
            <w:vAlign w:val="center"/>
          </w:tcPr>
          <w:p w14:paraId="7EF5FCEF"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0,0</w:t>
            </w:r>
          </w:p>
        </w:tc>
        <w:tc>
          <w:tcPr>
            <w:tcW w:w="473" w:type="pct"/>
            <w:tcBorders>
              <w:left w:val="nil"/>
              <w:bottom w:val="single" w:sz="4" w:space="0" w:color="auto"/>
              <w:right w:val="nil"/>
            </w:tcBorders>
            <w:tcMar>
              <w:left w:w="28" w:type="dxa"/>
              <w:right w:w="28" w:type="dxa"/>
            </w:tcMar>
            <w:vAlign w:val="center"/>
          </w:tcPr>
          <w:p w14:paraId="3DF562DF"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0,0</w:t>
            </w:r>
          </w:p>
        </w:tc>
        <w:tc>
          <w:tcPr>
            <w:tcW w:w="294" w:type="pct"/>
            <w:tcBorders>
              <w:left w:val="nil"/>
              <w:bottom w:val="single" w:sz="4" w:space="0" w:color="auto"/>
              <w:right w:val="double" w:sz="4" w:space="0" w:color="auto"/>
            </w:tcBorders>
            <w:tcMar>
              <w:left w:w="28" w:type="dxa"/>
              <w:right w:w="28" w:type="dxa"/>
            </w:tcMar>
            <w:vAlign w:val="center"/>
          </w:tcPr>
          <w:p w14:paraId="09DEDD35" w14:textId="77777777" w:rsidR="006C6C49" w:rsidRPr="00B3369B" w:rsidRDefault="006C6C49" w:rsidP="001E10E4">
            <w:pPr>
              <w:keepNext/>
              <w:spacing w:after="0"/>
              <w:contextualSpacing/>
              <w:jc w:val="center"/>
              <w:rPr>
                <w:sz w:val="22"/>
                <w:szCs w:val="22"/>
                <w:lang w:eastAsia="sk-SK"/>
              </w:rPr>
            </w:pPr>
            <w:r w:rsidRPr="00B3369B">
              <w:rPr>
                <w:sz w:val="22"/>
                <w:szCs w:val="22"/>
                <w:lang w:eastAsia="sk-SK"/>
              </w:rPr>
              <w:t>0,0</w:t>
            </w:r>
          </w:p>
        </w:tc>
      </w:tr>
      <w:tr w:rsidR="006C6C49" w:rsidRPr="00B76D8E" w14:paraId="536D0A01" w14:textId="77777777" w:rsidTr="006C6C49">
        <w:trPr>
          <w:trHeight w:val="255"/>
        </w:trPr>
        <w:tc>
          <w:tcPr>
            <w:tcW w:w="2907" w:type="pct"/>
            <w:tcBorders>
              <w:top w:val="single" w:sz="4" w:space="0" w:color="auto"/>
              <w:bottom w:val="double" w:sz="4" w:space="0" w:color="auto"/>
              <w:right w:val="single" w:sz="4" w:space="0" w:color="auto"/>
            </w:tcBorders>
            <w:shd w:val="clear" w:color="auto" w:fill="auto"/>
            <w:tcMar>
              <w:left w:w="28" w:type="dxa"/>
              <w:right w:w="28" w:type="dxa"/>
            </w:tcMar>
            <w:vAlign w:val="center"/>
          </w:tcPr>
          <w:p w14:paraId="015F7290" w14:textId="77777777" w:rsidR="006C6C49" w:rsidRPr="00B3369B" w:rsidRDefault="006C6C49" w:rsidP="001E10E4">
            <w:pPr>
              <w:keepNext/>
              <w:spacing w:after="0"/>
              <w:contextualSpacing/>
              <w:jc w:val="left"/>
              <w:rPr>
                <w:b/>
                <w:i/>
                <w:sz w:val="22"/>
                <w:szCs w:val="22"/>
                <w:lang w:eastAsia="sk-SK"/>
              </w:rPr>
            </w:pPr>
            <w:r w:rsidRPr="00B3369B">
              <w:rPr>
                <w:b/>
                <w:i/>
                <w:sz w:val="22"/>
                <w:szCs w:val="22"/>
                <w:lang w:eastAsia="sk-SK"/>
              </w:rPr>
              <w:t>Priemerný rast HDP na jedného obyvateľa</w:t>
            </w:r>
          </w:p>
        </w:tc>
        <w:tc>
          <w:tcPr>
            <w:tcW w:w="468" w:type="pct"/>
            <w:tcBorders>
              <w:top w:val="single" w:sz="4" w:space="0" w:color="auto"/>
              <w:bottom w:val="double" w:sz="4" w:space="0" w:color="auto"/>
              <w:right w:val="single" w:sz="4" w:space="0" w:color="auto"/>
            </w:tcBorders>
            <w:shd w:val="clear" w:color="auto" w:fill="DBE5F1"/>
            <w:vAlign w:val="center"/>
          </w:tcPr>
          <w:p w14:paraId="45BA9CE2" w14:textId="77777777" w:rsidR="006C6C49" w:rsidRPr="00B3369B" w:rsidRDefault="006C6C49" w:rsidP="001E10E4">
            <w:pPr>
              <w:keepNext/>
              <w:spacing w:after="0"/>
              <w:contextualSpacing/>
              <w:jc w:val="center"/>
              <w:rPr>
                <w:b/>
                <w:i/>
                <w:sz w:val="22"/>
                <w:szCs w:val="22"/>
                <w:lang w:eastAsia="sk-SK"/>
              </w:rPr>
            </w:pPr>
            <w:r w:rsidRPr="00B3369B">
              <w:rPr>
                <w:b/>
                <w:i/>
                <w:sz w:val="22"/>
                <w:szCs w:val="22"/>
                <w:lang w:eastAsia="sk-SK"/>
              </w:rPr>
              <w:t>1,3</w:t>
            </w:r>
          </w:p>
        </w:tc>
        <w:tc>
          <w:tcPr>
            <w:tcW w:w="467" w:type="pct"/>
            <w:tcBorders>
              <w:top w:val="single" w:sz="4" w:space="0" w:color="auto"/>
              <w:left w:val="single" w:sz="4" w:space="0" w:color="auto"/>
              <w:bottom w:val="double" w:sz="4" w:space="0" w:color="auto"/>
              <w:right w:val="single" w:sz="4" w:space="0" w:color="auto"/>
            </w:tcBorders>
            <w:shd w:val="clear" w:color="auto" w:fill="FFFFCC"/>
            <w:tcMar>
              <w:left w:w="28" w:type="dxa"/>
              <w:right w:w="28" w:type="dxa"/>
            </w:tcMar>
            <w:vAlign w:val="center"/>
          </w:tcPr>
          <w:p w14:paraId="23216824" w14:textId="49A45E55" w:rsidR="006C6C49" w:rsidRPr="00B3369B" w:rsidRDefault="006C6C49" w:rsidP="001E10E4">
            <w:pPr>
              <w:keepNext/>
              <w:spacing w:after="0"/>
              <w:contextualSpacing/>
              <w:jc w:val="center"/>
              <w:rPr>
                <w:b/>
                <w:bCs w:val="0"/>
                <w:i/>
                <w:sz w:val="22"/>
                <w:szCs w:val="22"/>
                <w:lang w:eastAsia="sk-SK"/>
              </w:rPr>
            </w:pPr>
            <w:r>
              <w:rPr>
                <w:b/>
                <w:bCs w:val="0"/>
                <w:i/>
                <w:sz w:val="22"/>
                <w:szCs w:val="22"/>
                <w:lang w:eastAsia="sk-SK"/>
              </w:rPr>
              <w:t>1,9</w:t>
            </w:r>
          </w:p>
        </w:tc>
        <w:tc>
          <w:tcPr>
            <w:tcW w:w="391" w:type="pct"/>
            <w:tcBorders>
              <w:top w:val="single" w:sz="4" w:space="0" w:color="auto"/>
              <w:left w:val="single" w:sz="4" w:space="0" w:color="auto"/>
              <w:bottom w:val="double" w:sz="4" w:space="0" w:color="auto"/>
              <w:right w:val="nil"/>
            </w:tcBorders>
            <w:tcMar>
              <w:left w:w="28" w:type="dxa"/>
              <w:right w:w="28" w:type="dxa"/>
            </w:tcMar>
            <w:vAlign w:val="center"/>
          </w:tcPr>
          <w:p w14:paraId="53A4EA72" w14:textId="66F13F8B" w:rsidR="006C6C49" w:rsidRPr="00B3369B" w:rsidRDefault="006C6C49" w:rsidP="001E10E4">
            <w:pPr>
              <w:keepNext/>
              <w:spacing w:after="0"/>
              <w:contextualSpacing/>
              <w:jc w:val="center"/>
              <w:rPr>
                <w:b/>
                <w:i/>
                <w:sz w:val="22"/>
                <w:szCs w:val="22"/>
                <w:lang w:eastAsia="sk-SK"/>
              </w:rPr>
            </w:pPr>
            <w:r>
              <w:rPr>
                <w:b/>
                <w:i/>
                <w:sz w:val="22"/>
                <w:szCs w:val="22"/>
                <w:lang w:eastAsia="sk-SK"/>
              </w:rPr>
              <w:t>1,5</w:t>
            </w:r>
          </w:p>
        </w:tc>
        <w:tc>
          <w:tcPr>
            <w:tcW w:w="473" w:type="pct"/>
            <w:tcBorders>
              <w:top w:val="single" w:sz="4" w:space="0" w:color="auto"/>
              <w:left w:val="nil"/>
              <w:bottom w:val="double" w:sz="4" w:space="0" w:color="auto"/>
              <w:right w:val="nil"/>
            </w:tcBorders>
            <w:tcMar>
              <w:left w:w="28" w:type="dxa"/>
              <w:right w:w="28" w:type="dxa"/>
            </w:tcMar>
            <w:vAlign w:val="center"/>
          </w:tcPr>
          <w:p w14:paraId="78C2E82F" w14:textId="501FA8F0" w:rsidR="006C6C49" w:rsidRPr="00B3369B" w:rsidRDefault="006C6C49" w:rsidP="001E10E4">
            <w:pPr>
              <w:keepNext/>
              <w:spacing w:after="0"/>
              <w:contextualSpacing/>
              <w:jc w:val="center"/>
              <w:rPr>
                <w:b/>
                <w:i/>
                <w:sz w:val="22"/>
                <w:szCs w:val="22"/>
                <w:lang w:eastAsia="sk-SK"/>
              </w:rPr>
            </w:pPr>
            <w:r>
              <w:rPr>
                <w:b/>
                <w:i/>
                <w:sz w:val="22"/>
                <w:szCs w:val="22"/>
                <w:lang w:eastAsia="sk-SK"/>
              </w:rPr>
              <w:t>1,6</w:t>
            </w:r>
          </w:p>
        </w:tc>
        <w:tc>
          <w:tcPr>
            <w:tcW w:w="294" w:type="pct"/>
            <w:tcBorders>
              <w:top w:val="single" w:sz="4" w:space="0" w:color="auto"/>
              <w:left w:val="nil"/>
              <w:bottom w:val="double" w:sz="4" w:space="0" w:color="auto"/>
              <w:right w:val="double" w:sz="4" w:space="0" w:color="auto"/>
            </w:tcBorders>
            <w:tcMar>
              <w:left w:w="28" w:type="dxa"/>
              <w:right w:w="28" w:type="dxa"/>
            </w:tcMar>
            <w:vAlign w:val="center"/>
          </w:tcPr>
          <w:p w14:paraId="68524BEE" w14:textId="711EF226" w:rsidR="006C6C49" w:rsidRPr="00B3369B" w:rsidRDefault="006C6C49" w:rsidP="001E10E4">
            <w:pPr>
              <w:keepNext/>
              <w:spacing w:after="0"/>
              <w:contextualSpacing/>
              <w:jc w:val="center"/>
              <w:rPr>
                <w:b/>
                <w:i/>
                <w:sz w:val="22"/>
                <w:szCs w:val="22"/>
                <w:lang w:eastAsia="sk-SK"/>
              </w:rPr>
            </w:pPr>
            <w:r>
              <w:rPr>
                <w:b/>
                <w:i/>
                <w:sz w:val="22"/>
                <w:szCs w:val="22"/>
                <w:lang w:eastAsia="sk-SK"/>
              </w:rPr>
              <w:t>1,9</w:t>
            </w:r>
          </w:p>
        </w:tc>
      </w:tr>
    </w:tbl>
    <w:p w14:paraId="57786C46" w14:textId="1B66FD5E" w:rsidR="001C2A4B" w:rsidRPr="00B65C93" w:rsidRDefault="001C2A4B" w:rsidP="001C2A4B">
      <w:pPr>
        <w:keepNext/>
        <w:contextualSpacing/>
        <w:rPr>
          <w:sz w:val="20"/>
          <w:szCs w:val="20"/>
        </w:rPr>
      </w:pPr>
      <w:r w:rsidRPr="00B65C93">
        <w:rPr>
          <w:sz w:val="20"/>
          <w:szCs w:val="20"/>
        </w:rPr>
        <w:t xml:space="preserve">Zdroj: </w:t>
      </w:r>
      <w:proofErr w:type="spellStart"/>
      <w:r>
        <w:rPr>
          <w:sz w:val="20"/>
          <w:szCs w:val="20"/>
        </w:rPr>
        <w:t>European</w:t>
      </w:r>
      <w:proofErr w:type="spellEnd"/>
      <w:r>
        <w:rPr>
          <w:sz w:val="20"/>
          <w:szCs w:val="20"/>
        </w:rPr>
        <w:t xml:space="preserve"> </w:t>
      </w:r>
      <w:proofErr w:type="spellStart"/>
      <w:r>
        <w:rPr>
          <w:sz w:val="20"/>
          <w:szCs w:val="20"/>
        </w:rPr>
        <w:t>Commission</w:t>
      </w:r>
      <w:proofErr w:type="spellEnd"/>
      <w:r>
        <w:rPr>
          <w:sz w:val="20"/>
          <w:szCs w:val="20"/>
        </w:rPr>
        <w:t xml:space="preserve"> (2015):</w:t>
      </w:r>
      <w:r w:rsidRPr="00B65C93">
        <w:rPr>
          <w:sz w:val="20"/>
          <w:szCs w:val="20"/>
        </w:rPr>
        <w:t xml:space="preserve"> </w:t>
      </w:r>
      <w:proofErr w:type="spellStart"/>
      <w:r w:rsidRPr="001C2A4B">
        <w:rPr>
          <w:i/>
          <w:sz w:val="20"/>
          <w:szCs w:val="20"/>
        </w:rPr>
        <w:t>European</w:t>
      </w:r>
      <w:proofErr w:type="spellEnd"/>
      <w:r w:rsidRPr="001C2A4B">
        <w:rPr>
          <w:i/>
          <w:sz w:val="20"/>
          <w:szCs w:val="20"/>
        </w:rPr>
        <w:t xml:space="preserve"> </w:t>
      </w:r>
      <w:proofErr w:type="spellStart"/>
      <w:r w:rsidRPr="001C2A4B">
        <w:rPr>
          <w:i/>
          <w:sz w:val="20"/>
          <w:szCs w:val="20"/>
        </w:rPr>
        <w:t>Commission</w:t>
      </w:r>
      <w:proofErr w:type="spellEnd"/>
      <w:r w:rsidRPr="001C2A4B">
        <w:rPr>
          <w:i/>
          <w:sz w:val="20"/>
          <w:szCs w:val="20"/>
        </w:rPr>
        <w:t xml:space="preserve"> (2015): </w:t>
      </w:r>
      <w:proofErr w:type="spellStart"/>
      <w:r w:rsidRPr="001C2A4B">
        <w:rPr>
          <w:i/>
          <w:sz w:val="20"/>
          <w:szCs w:val="20"/>
        </w:rPr>
        <w:t>The</w:t>
      </w:r>
      <w:proofErr w:type="spellEnd"/>
      <w:r w:rsidRPr="001C2A4B">
        <w:rPr>
          <w:i/>
          <w:sz w:val="20"/>
          <w:szCs w:val="20"/>
        </w:rPr>
        <w:t xml:space="preserve"> 2015 </w:t>
      </w:r>
      <w:proofErr w:type="spellStart"/>
      <w:r w:rsidRPr="001C2A4B">
        <w:rPr>
          <w:i/>
          <w:sz w:val="20"/>
          <w:szCs w:val="20"/>
        </w:rPr>
        <w:t>Ageing</w:t>
      </w:r>
      <w:proofErr w:type="spellEnd"/>
      <w:r w:rsidRPr="001C2A4B">
        <w:rPr>
          <w:i/>
          <w:sz w:val="20"/>
          <w:szCs w:val="20"/>
        </w:rPr>
        <w:t xml:space="preserve"> Report. </w:t>
      </w:r>
      <w:proofErr w:type="spellStart"/>
      <w:r w:rsidRPr="001C2A4B">
        <w:rPr>
          <w:i/>
          <w:sz w:val="20"/>
          <w:szCs w:val="20"/>
        </w:rPr>
        <w:t>European</w:t>
      </w:r>
      <w:proofErr w:type="spellEnd"/>
      <w:r w:rsidRPr="001C2A4B">
        <w:rPr>
          <w:i/>
          <w:sz w:val="20"/>
          <w:szCs w:val="20"/>
        </w:rPr>
        <w:t xml:space="preserve"> </w:t>
      </w:r>
      <w:proofErr w:type="spellStart"/>
      <w:r w:rsidRPr="001C2A4B">
        <w:rPr>
          <w:i/>
          <w:sz w:val="20"/>
          <w:szCs w:val="20"/>
        </w:rPr>
        <w:t>Economy</w:t>
      </w:r>
      <w:proofErr w:type="spellEnd"/>
      <w:r w:rsidRPr="001C2A4B">
        <w:rPr>
          <w:i/>
          <w:sz w:val="20"/>
          <w:szCs w:val="20"/>
        </w:rPr>
        <w:t xml:space="preserve"> 3|2015</w:t>
      </w:r>
      <w:r>
        <w:rPr>
          <w:i/>
          <w:sz w:val="20"/>
          <w:szCs w:val="20"/>
        </w:rPr>
        <w:t xml:space="preserve">. </w:t>
      </w:r>
      <w:r>
        <w:rPr>
          <w:sz w:val="20"/>
          <w:szCs w:val="20"/>
        </w:rPr>
        <w:t>Rozdiely v súčtoch vyplývajú za zaokrúhľovania.</w:t>
      </w:r>
    </w:p>
    <w:p w14:paraId="4DC8966C" w14:textId="77777777" w:rsidR="006A5192" w:rsidRDefault="006A5192" w:rsidP="004635B8"/>
    <w:p w14:paraId="3D41F7F3" w14:textId="093B699C" w:rsidR="003A5436" w:rsidRDefault="003A5436" w:rsidP="003A5436">
      <w:pPr>
        <w:keepNext/>
        <w:keepLines/>
      </w:pPr>
      <w:r>
        <w:rPr>
          <w:noProof/>
          <w:lang w:val="cs-CZ" w:eastAsia="cs-CZ"/>
        </w:rPr>
        <w:lastRenderedPageBreak/>
        <w:drawing>
          <wp:inline distT="0" distB="0" distL="0" distR="0" wp14:anchorId="4016943E" wp14:editId="57A4B6DD">
            <wp:extent cx="5753100" cy="3143250"/>
            <wp:effectExtent l="0" t="0" r="0" b="0"/>
            <wp:docPr id="1" name="Graf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6D1EE8F" w14:textId="7D16E217" w:rsidR="003A5436" w:rsidRPr="00B5351A" w:rsidRDefault="00D2437C" w:rsidP="003A5436">
      <w:pPr>
        <w:keepNext/>
        <w:keepLines/>
      </w:pPr>
      <w:bookmarkStart w:id="45" w:name="_Toc500705956"/>
      <w:r w:rsidRPr="008F3AE0">
        <w:rPr>
          <w:b/>
        </w:rPr>
        <w:t xml:space="preserve">Graf </w:t>
      </w:r>
      <w:r w:rsidRPr="008F3AE0">
        <w:rPr>
          <w:b/>
          <w:i/>
        </w:rPr>
        <w:fldChar w:fldCharType="begin"/>
      </w:r>
      <w:r w:rsidRPr="008F3AE0">
        <w:rPr>
          <w:b/>
        </w:rPr>
        <w:instrText xml:space="preserve"> SEQ Graf \* ARABIC </w:instrText>
      </w:r>
      <w:r w:rsidRPr="008F3AE0">
        <w:rPr>
          <w:b/>
          <w:i/>
        </w:rPr>
        <w:fldChar w:fldCharType="separate"/>
      </w:r>
      <w:r>
        <w:rPr>
          <w:b/>
          <w:noProof/>
        </w:rPr>
        <w:t>1</w:t>
      </w:r>
      <w:r w:rsidRPr="008F3AE0">
        <w:rPr>
          <w:b/>
          <w:i/>
        </w:rPr>
        <w:fldChar w:fldCharType="end"/>
      </w:r>
      <w:r w:rsidRPr="008F3AE0">
        <w:rPr>
          <w:b/>
        </w:rPr>
        <w:t>:</w:t>
      </w:r>
      <w:r w:rsidR="003A5436" w:rsidRPr="00B5351A">
        <w:t xml:space="preserve"> Integrácia SR do svetových sietí obchodu s tovarom a službami (exporty ako % HDP)</w:t>
      </w:r>
      <w:r w:rsidR="003A5436">
        <w:t xml:space="preserve">. </w:t>
      </w:r>
      <w:r w:rsidR="003A5436" w:rsidRPr="00B5351A">
        <w:t xml:space="preserve">Zdroj: </w:t>
      </w:r>
      <w:r w:rsidR="003A5436">
        <w:t>Štatistický úrad Slovenskej r</w:t>
      </w:r>
      <w:r w:rsidR="003A5436" w:rsidRPr="00B5351A">
        <w:t>epubliky</w:t>
      </w:r>
      <w:r w:rsidR="003A5436">
        <w:t>:</w:t>
      </w:r>
      <w:r w:rsidR="003A5436" w:rsidRPr="004C73D3">
        <w:rPr>
          <w:i/>
          <w:iCs/>
        </w:rPr>
        <w:t xml:space="preserve"> databáza </w:t>
      </w:r>
      <w:proofErr w:type="spellStart"/>
      <w:r w:rsidR="003A5436" w:rsidRPr="004C73D3">
        <w:rPr>
          <w:i/>
          <w:iCs/>
        </w:rPr>
        <w:t>Slovstat</w:t>
      </w:r>
      <w:proofErr w:type="spellEnd"/>
      <w:r w:rsidR="003A5436">
        <w:t xml:space="preserve">, Národná banka Slovenska: </w:t>
      </w:r>
      <w:r w:rsidR="003A5436" w:rsidRPr="004C73D3">
        <w:rPr>
          <w:i/>
          <w:iCs/>
        </w:rPr>
        <w:t>Štatistika platobnej bilancie</w:t>
      </w:r>
      <w:r w:rsidR="003A5436">
        <w:t>.</w:t>
      </w:r>
      <w:bookmarkEnd w:id="45"/>
    </w:p>
    <w:p w14:paraId="37CA48A8" w14:textId="77777777" w:rsidR="003A5436" w:rsidRDefault="003A5436" w:rsidP="004635B8"/>
    <w:p w14:paraId="21AFD720" w14:textId="4A432125" w:rsidR="00976629" w:rsidRPr="001D2B33" w:rsidRDefault="00976629" w:rsidP="00976629">
      <w:pPr>
        <w:keepNext/>
        <w:keepLines/>
      </w:pPr>
      <w:r>
        <w:rPr>
          <w:noProof/>
          <w:lang w:val="cs-CZ" w:eastAsia="cs-CZ"/>
        </w:rPr>
        <w:drawing>
          <wp:inline distT="0" distB="0" distL="0" distR="0" wp14:anchorId="544622BF" wp14:editId="53AA7BB2">
            <wp:extent cx="5753100" cy="3143250"/>
            <wp:effectExtent l="0" t="0" r="0" b="0"/>
            <wp:docPr id="3" name="Graf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1DCA304" w14:textId="3F8F858D" w:rsidR="00976629" w:rsidRPr="00B5351A" w:rsidRDefault="00D2437C" w:rsidP="00976629">
      <w:pPr>
        <w:keepNext/>
        <w:keepLines/>
      </w:pPr>
      <w:bookmarkStart w:id="46" w:name="_Toc500705957"/>
      <w:r w:rsidRPr="008F3AE0">
        <w:rPr>
          <w:b/>
        </w:rPr>
        <w:t xml:space="preserve">Graf </w:t>
      </w:r>
      <w:r w:rsidRPr="008F3AE0">
        <w:rPr>
          <w:b/>
          <w:i/>
        </w:rPr>
        <w:fldChar w:fldCharType="begin"/>
      </w:r>
      <w:r w:rsidRPr="008F3AE0">
        <w:rPr>
          <w:b/>
        </w:rPr>
        <w:instrText xml:space="preserve"> SEQ Graf \* ARABIC </w:instrText>
      </w:r>
      <w:r w:rsidRPr="008F3AE0">
        <w:rPr>
          <w:b/>
          <w:i/>
        </w:rPr>
        <w:fldChar w:fldCharType="separate"/>
      </w:r>
      <w:r w:rsidR="00753EDD">
        <w:rPr>
          <w:b/>
          <w:noProof/>
        </w:rPr>
        <w:t>2</w:t>
      </w:r>
      <w:r w:rsidRPr="008F3AE0">
        <w:rPr>
          <w:b/>
          <w:i/>
        </w:rPr>
        <w:fldChar w:fldCharType="end"/>
      </w:r>
      <w:r w:rsidR="00976629" w:rsidRPr="00B5351A">
        <w:rPr>
          <w:b/>
        </w:rPr>
        <w:t>:</w:t>
      </w:r>
      <w:r w:rsidR="00976629" w:rsidRPr="00B5351A">
        <w:t xml:space="preserve"> Štruktúra slovenských exportov tovarov v rokoch 1997-201</w:t>
      </w:r>
      <w:r w:rsidR="009F0794">
        <w:t>6</w:t>
      </w:r>
      <w:r w:rsidR="00976629" w:rsidRPr="00B5351A">
        <w:t xml:space="preserve">. Zdroj: </w:t>
      </w:r>
      <w:r w:rsidR="00976629">
        <w:t>Štatistický úrad Slovenskej r</w:t>
      </w:r>
      <w:r w:rsidR="00976629" w:rsidRPr="00B5351A">
        <w:t>epubliky</w:t>
      </w:r>
      <w:r w:rsidR="00976629">
        <w:t>:</w:t>
      </w:r>
      <w:r w:rsidR="00976629" w:rsidRPr="00B5351A">
        <w:t xml:space="preserve"> </w:t>
      </w:r>
      <w:r w:rsidR="00976629" w:rsidRPr="004C73D3">
        <w:rPr>
          <w:i/>
          <w:iCs/>
        </w:rPr>
        <w:t xml:space="preserve">databáza </w:t>
      </w:r>
      <w:proofErr w:type="spellStart"/>
      <w:r w:rsidR="00976629" w:rsidRPr="004C73D3">
        <w:rPr>
          <w:i/>
          <w:iCs/>
        </w:rPr>
        <w:t>Slovstat</w:t>
      </w:r>
      <w:proofErr w:type="spellEnd"/>
      <w:r w:rsidR="00976629">
        <w:t>, Klasifikácia výrobkov podľa Harmonického systému popisu a kódovania komodít HS6.</w:t>
      </w:r>
      <w:bookmarkEnd w:id="46"/>
    </w:p>
    <w:p w14:paraId="66522C9F" w14:textId="77777777" w:rsidR="003A5436" w:rsidRDefault="003A5436" w:rsidP="004635B8"/>
    <w:p w14:paraId="3CC362A4" w14:textId="73628371" w:rsidR="00CD0F83" w:rsidRDefault="00F51192" w:rsidP="00DB159B">
      <w:pPr>
        <w:keepNext/>
        <w:spacing w:beforeLines="20" w:before="48" w:afterLines="40" w:after="96"/>
        <w:rPr>
          <w:b/>
          <w:sz w:val="20"/>
          <w:szCs w:val="20"/>
        </w:rPr>
      </w:pPr>
      <w:r>
        <w:rPr>
          <w:noProof/>
          <w:lang w:val="cs-CZ" w:eastAsia="cs-CZ"/>
        </w:rPr>
        <w:lastRenderedPageBreak/>
        <w:drawing>
          <wp:inline distT="0" distB="0" distL="0" distR="0" wp14:anchorId="2CE66E3E" wp14:editId="345AE0BA">
            <wp:extent cx="2809875" cy="3200400"/>
            <wp:effectExtent l="0" t="0" r="9525" b="19050"/>
            <wp:docPr id="6" name="Graf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1E10E4">
        <w:rPr>
          <w:b/>
          <w:sz w:val="20"/>
          <w:szCs w:val="20"/>
        </w:rPr>
        <w:t xml:space="preserve"> </w:t>
      </w:r>
      <w:r w:rsidR="001E10E4">
        <w:rPr>
          <w:b/>
          <w:noProof/>
          <w:sz w:val="20"/>
          <w:szCs w:val="20"/>
          <w:lang w:val="cs-CZ" w:eastAsia="cs-CZ"/>
        </w:rPr>
        <w:drawing>
          <wp:inline distT="0" distB="0" distL="0" distR="0" wp14:anchorId="25597399" wp14:editId="73B47DA2">
            <wp:extent cx="2809875" cy="3200400"/>
            <wp:effectExtent l="0" t="0" r="9525" b="190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198DC8B" w14:textId="000345EC" w:rsidR="00DB159B" w:rsidRPr="000B205F" w:rsidRDefault="00753EDD" w:rsidP="00DB159B">
      <w:pPr>
        <w:keepNext/>
        <w:spacing w:beforeLines="20" w:before="48" w:afterLines="40" w:after="96"/>
      </w:pPr>
      <w:bookmarkStart w:id="47" w:name="_Toc500705958"/>
      <w:r w:rsidRPr="008F3AE0">
        <w:rPr>
          <w:b/>
        </w:rPr>
        <w:t xml:space="preserve">Graf </w:t>
      </w:r>
      <w:r w:rsidRPr="008F3AE0">
        <w:rPr>
          <w:b/>
          <w:i/>
        </w:rPr>
        <w:fldChar w:fldCharType="begin"/>
      </w:r>
      <w:r w:rsidRPr="008F3AE0">
        <w:rPr>
          <w:b/>
        </w:rPr>
        <w:instrText xml:space="preserve"> SEQ Graf \* ARABIC </w:instrText>
      </w:r>
      <w:r w:rsidRPr="008F3AE0">
        <w:rPr>
          <w:b/>
          <w:i/>
        </w:rPr>
        <w:fldChar w:fldCharType="separate"/>
      </w:r>
      <w:r>
        <w:rPr>
          <w:b/>
          <w:noProof/>
        </w:rPr>
        <w:t>3</w:t>
      </w:r>
      <w:r w:rsidRPr="008F3AE0">
        <w:rPr>
          <w:b/>
          <w:i/>
        </w:rPr>
        <w:fldChar w:fldCharType="end"/>
      </w:r>
      <w:r w:rsidRPr="008F3AE0">
        <w:rPr>
          <w:b/>
        </w:rPr>
        <w:t>:</w:t>
      </w:r>
      <w:r w:rsidRPr="008F3AE0">
        <w:t xml:space="preserve"> </w:t>
      </w:r>
      <w:r w:rsidR="00DB159B" w:rsidRPr="000B205F">
        <w:t xml:space="preserve">Trendy v ukazovateľoch </w:t>
      </w:r>
      <w:r w:rsidR="00611B5F">
        <w:t xml:space="preserve">výskumu, </w:t>
      </w:r>
      <w:r w:rsidR="00DB159B" w:rsidRPr="000B205F">
        <w:t>vývoja</w:t>
      </w:r>
      <w:r w:rsidR="00611B5F">
        <w:t xml:space="preserve"> a inovácií:</w:t>
      </w:r>
      <w:r w:rsidR="00DB159B" w:rsidRPr="000B205F">
        <w:t xml:space="preserve"> Zdroj: </w:t>
      </w:r>
      <w:proofErr w:type="spellStart"/>
      <w:r w:rsidR="00B459D9">
        <w:t>Eurostat</w:t>
      </w:r>
      <w:proofErr w:type="spellEnd"/>
      <w:r w:rsidR="00611B5F">
        <w:t xml:space="preserve"> (2017): </w:t>
      </w:r>
      <w:proofErr w:type="spellStart"/>
      <w:r w:rsidR="00611B5F" w:rsidRPr="00611B5F">
        <w:t>Total</w:t>
      </w:r>
      <w:proofErr w:type="spellEnd"/>
      <w:r w:rsidR="00611B5F" w:rsidRPr="00611B5F">
        <w:t xml:space="preserve"> </w:t>
      </w:r>
      <w:proofErr w:type="spellStart"/>
      <w:r w:rsidR="00611B5F" w:rsidRPr="00611B5F">
        <w:t>intramural</w:t>
      </w:r>
      <w:proofErr w:type="spellEnd"/>
      <w:r w:rsidR="00611B5F" w:rsidRPr="00611B5F">
        <w:t xml:space="preserve"> R&amp;D </w:t>
      </w:r>
      <w:proofErr w:type="spellStart"/>
      <w:r w:rsidR="00611B5F" w:rsidRPr="00611B5F">
        <w:t>expenditure</w:t>
      </w:r>
      <w:proofErr w:type="spellEnd"/>
      <w:r w:rsidR="00611B5F" w:rsidRPr="00611B5F">
        <w:t xml:space="preserve"> (GERD) by </w:t>
      </w:r>
      <w:proofErr w:type="spellStart"/>
      <w:r w:rsidR="00611B5F" w:rsidRPr="00611B5F">
        <w:t>sectors</w:t>
      </w:r>
      <w:proofErr w:type="spellEnd"/>
      <w:r w:rsidR="00611B5F" w:rsidRPr="00611B5F">
        <w:t xml:space="preserve"> of </w:t>
      </w:r>
      <w:proofErr w:type="spellStart"/>
      <w:r w:rsidR="00611B5F" w:rsidRPr="00611B5F">
        <w:t>performance</w:t>
      </w:r>
      <w:proofErr w:type="spellEnd"/>
      <w:r w:rsidR="00611B5F">
        <w:t>, a </w:t>
      </w:r>
      <w:proofErr w:type="spellStart"/>
      <w:r w:rsidR="00611B5F">
        <w:t>European</w:t>
      </w:r>
      <w:proofErr w:type="spellEnd"/>
      <w:r w:rsidR="00611B5F">
        <w:t xml:space="preserve"> </w:t>
      </w:r>
      <w:proofErr w:type="spellStart"/>
      <w:r w:rsidR="00611B5F">
        <w:t>Commission</w:t>
      </w:r>
      <w:proofErr w:type="spellEnd"/>
      <w:r w:rsidR="00611B5F">
        <w:t xml:space="preserve">, DG </w:t>
      </w:r>
      <w:proofErr w:type="spellStart"/>
      <w:r w:rsidR="00611B5F">
        <w:t>Growth</w:t>
      </w:r>
      <w:proofErr w:type="spellEnd"/>
      <w:r w:rsidR="00611B5F">
        <w:t xml:space="preserve"> (2017): </w:t>
      </w:r>
      <w:proofErr w:type="spellStart"/>
      <w:r w:rsidR="00611B5F" w:rsidRPr="00611B5F">
        <w:t>European</w:t>
      </w:r>
      <w:proofErr w:type="spellEnd"/>
      <w:r w:rsidR="00611B5F" w:rsidRPr="00611B5F">
        <w:t xml:space="preserve"> </w:t>
      </w:r>
      <w:proofErr w:type="spellStart"/>
      <w:r w:rsidR="00611B5F" w:rsidRPr="00611B5F">
        <w:t>Innovation</w:t>
      </w:r>
      <w:proofErr w:type="spellEnd"/>
      <w:r w:rsidR="00611B5F" w:rsidRPr="00611B5F">
        <w:t xml:space="preserve"> </w:t>
      </w:r>
      <w:proofErr w:type="spellStart"/>
      <w:r w:rsidR="00611B5F" w:rsidRPr="00611B5F">
        <w:t>Scoreboard</w:t>
      </w:r>
      <w:proofErr w:type="spellEnd"/>
      <w:r w:rsidR="00611B5F" w:rsidRPr="00611B5F">
        <w:t xml:space="preserve"> 2017</w:t>
      </w:r>
      <w:r w:rsidR="009F0794">
        <w:t>.</w:t>
      </w:r>
      <w:bookmarkEnd w:id="47"/>
    </w:p>
    <w:p w14:paraId="751AA1AC" w14:textId="0B693706" w:rsidR="00986A72" w:rsidRDefault="00986A72" w:rsidP="004635B8"/>
    <w:p w14:paraId="2F39F68C" w14:textId="0848ADA3" w:rsidR="00DF02C4" w:rsidRPr="00DF02C4" w:rsidRDefault="008C40B2" w:rsidP="00DF02C4">
      <w:pPr>
        <w:keepNext/>
        <w:keepLines/>
      </w:pPr>
      <w:bookmarkStart w:id="48" w:name="_Toc500705972"/>
      <w:r w:rsidRPr="008F3AE0">
        <w:rPr>
          <w:b/>
        </w:rPr>
        <w:t xml:space="preserve">Tabuľka </w:t>
      </w:r>
      <w:r w:rsidRPr="008F3AE0">
        <w:fldChar w:fldCharType="begin"/>
      </w:r>
      <w:r w:rsidRPr="008F3AE0">
        <w:rPr>
          <w:b/>
        </w:rPr>
        <w:instrText xml:space="preserve"> SEQ Tabuľka \* ARABIC </w:instrText>
      </w:r>
      <w:r w:rsidRPr="008F3AE0">
        <w:fldChar w:fldCharType="separate"/>
      </w:r>
      <w:r>
        <w:rPr>
          <w:b/>
          <w:noProof/>
        </w:rPr>
        <w:t>3</w:t>
      </w:r>
      <w:r w:rsidRPr="008F3AE0">
        <w:fldChar w:fldCharType="end"/>
      </w:r>
      <w:r w:rsidRPr="008F3AE0">
        <w:rPr>
          <w:b/>
        </w:rPr>
        <w:t>:</w:t>
      </w:r>
      <w:r w:rsidRPr="008F3AE0">
        <w:t xml:space="preserve"> </w:t>
      </w:r>
      <w:r w:rsidR="00DF02C4" w:rsidRPr="00DF02C4">
        <w:t>Kľúčové ukazovatele výskumu, vývoja a inovácií v SR, EÚ28 a krajinách V4</w:t>
      </w:r>
      <w:bookmarkEnd w:id="48"/>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49"/>
        <w:gridCol w:w="501"/>
        <w:gridCol w:w="501"/>
        <w:gridCol w:w="501"/>
        <w:gridCol w:w="501"/>
        <w:gridCol w:w="501"/>
        <w:gridCol w:w="501"/>
        <w:gridCol w:w="534"/>
        <w:gridCol w:w="501"/>
        <w:gridCol w:w="502"/>
        <w:gridCol w:w="498"/>
      </w:tblGrid>
      <w:tr w:rsidR="00DF02C4" w:rsidRPr="00DF02C4" w14:paraId="29419AFF" w14:textId="77777777" w:rsidTr="003B3619">
        <w:trPr>
          <w:trHeight w:val="300"/>
        </w:trPr>
        <w:tc>
          <w:tcPr>
            <w:tcW w:w="2197" w:type="pct"/>
            <w:vMerge w:val="restart"/>
            <w:shd w:val="clear" w:color="auto" w:fill="auto"/>
            <w:tcMar>
              <w:left w:w="28" w:type="dxa"/>
              <w:right w:w="28" w:type="dxa"/>
            </w:tcMar>
            <w:vAlign w:val="center"/>
          </w:tcPr>
          <w:p w14:paraId="5DB42C2E" w14:textId="77777777" w:rsidR="00DF02C4" w:rsidRPr="00DF02C4" w:rsidRDefault="00DF02C4" w:rsidP="001A3253">
            <w:pPr>
              <w:keepNext/>
              <w:keepLines/>
              <w:spacing w:before="20" w:after="20"/>
              <w:rPr>
                <w:color w:val="auto"/>
                <w:sz w:val="20"/>
                <w:szCs w:val="20"/>
                <w:lang w:eastAsia="sk-SK"/>
              </w:rPr>
            </w:pPr>
          </w:p>
        </w:tc>
        <w:tc>
          <w:tcPr>
            <w:tcW w:w="279" w:type="pct"/>
            <w:tcBorders>
              <w:top w:val="double" w:sz="4" w:space="0" w:color="auto"/>
              <w:bottom w:val="single" w:sz="4" w:space="0" w:color="auto"/>
              <w:right w:val="nil"/>
            </w:tcBorders>
            <w:shd w:val="clear" w:color="auto" w:fill="auto"/>
            <w:tcMar>
              <w:left w:w="28" w:type="dxa"/>
              <w:right w:w="28" w:type="dxa"/>
            </w:tcMar>
            <w:vAlign w:val="center"/>
          </w:tcPr>
          <w:p w14:paraId="640FB9F3" w14:textId="2BD9722B" w:rsidR="00DF02C4" w:rsidRPr="00DF02C4" w:rsidRDefault="00DF02C4" w:rsidP="001A3253">
            <w:pPr>
              <w:keepNext/>
              <w:keepLines/>
              <w:spacing w:before="20" w:after="20"/>
              <w:jc w:val="center"/>
              <w:rPr>
                <w:b/>
                <w:bCs w:val="0"/>
                <w:color w:val="auto"/>
                <w:sz w:val="20"/>
                <w:szCs w:val="20"/>
                <w:lang w:eastAsia="sk-SK"/>
              </w:rPr>
            </w:pPr>
            <w:r w:rsidRPr="00DF02C4">
              <w:rPr>
                <w:b/>
                <w:color w:val="auto"/>
                <w:sz w:val="20"/>
                <w:szCs w:val="20"/>
                <w:lang w:eastAsia="sk-SK"/>
              </w:rPr>
              <w:t>2011</w:t>
            </w:r>
          </w:p>
        </w:tc>
        <w:tc>
          <w:tcPr>
            <w:tcW w:w="279" w:type="pct"/>
            <w:tcBorders>
              <w:top w:val="double" w:sz="4" w:space="0" w:color="auto"/>
              <w:left w:val="nil"/>
              <w:bottom w:val="single" w:sz="4" w:space="0" w:color="auto"/>
              <w:right w:val="nil"/>
            </w:tcBorders>
            <w:shd w:val="clear" w:color="auto" w:fill="auto"/>
            <w:tcMar>
              <w:left w:w="28" w:type="dxa"/>
              <w:right w:w="28" w:type="dxa"/>
            </w:tcMar>
            <w:vAlign w:val="center"/>
          </w:tcPr>
          <w:p w14:paraId="4A5D85EE" w14:textId="4FD38FA3" w:rsidR="00DF02C4" w:rsidRPr="00DF02C4" w:rsidRDefault="00DF02C4" w:rsidP="001A3253">
            <w:pPr>
              <w:keepNext/>
              <w:keepLines/>
              <w:spacing w:before="20" w:after="20"/>
              <w:jc w:val="center"/>
              <w:rPr>
                <w:b/>
                <w:bCs w:val="0"/>
                <w:color w:val="auto"/>
                <w:sz w:val="20"/>
                <w:szCs w:val="20"/>
                <w:lang w:eastAsia="sk-SK"/>
              </w:rPr>
            </w:pPr>
            <w:r w:rsidRPr="00DF02C4">
              <w:rPr>
                <w:b/>
                <w:color w:val="auto"/>
                <w:sz w:val="20"/>
                <w:szCs w:val="20"/>
                <w:lang w:eastAsia="sk-SK"/>
              </w:rPr>
              <w:t>2012</w:t>
            </w:r>
          </w:p>
        </w:tc>
        <w:tc>
          <w:tcPr>
            <w:tcW w:w="279" w:type="pct"/>
            <w:tcBorders>
              <w:top w:val="double" w:sz="4" w:space="0" w:color="auto"/>
              <w:left w:val="nil"/>
              <w:bottom w:val="single" w:sz="4" w:space="0" w:color="auto"/>
              <w:right w:val="nil"/>
            </w:tcBorders>
            <w:shd w:val="clear" w:color="auto" w:fill="auto"/>
            <w:tcMar>
              <w:left w:w="28" w:type="dxa"/>
              <w:right w:w="28" w:type="dxa"/>
            </w:tcMar>
            <w:vAlign w:val="center"/>
          </w:tcPr>
          <w:p w14:paraId="00E7CF76" w14:textId="65A2CA73" w:rsidR="00DF02C4" w:rsidRPr="00DF02C4" w:rsidRDefault="00DF02C4" w:rsidP="001A3253">
            <w:pPr>
              <w:keepNext/>
              <w:keepLines/>
              <w:spacing w:before="20" w:after="20"/>
              <w:jc w:val="center"/>
              <w:rPr>
                <w:b/>
                <w:bCs w:val="0"/>
                <w:color w:val="auto"/>
                <w:sz w:val="20"/>
                <w:szCs w:val="20"/>
                <w:lang w:eastAsia="sk-SK"/>
              </w:rPr>
            </w:pPr>
            <w:r w:rsidRPr="00DF02C4">
              <w:rPr>
                <w:b/>
                <w:color w:val="auto"/>
                <w:sz w:val="20"/>
                <w:szCs w:val="20"/>
                <w:lang w:eastAsia="sk-SK"/>
              </w:rPr>
              <w:t>2013</w:t>
            </w:r>
          </w:p>
        </w:tc>
        <w:tc>
          <w:tcPr>
            <w:tcW w:w="279" w:type="pct"/>
            <w:tcBorders>
              <w:top w:val="double" w:sz="4" w:space="0" w:color="auto"/>
              <w:left w:val="nil"/>
              <w:bottom w:val="single" w:sz="4" w:space="0" w:color="auto"/>
              <w:right w:val="nil"/>
            </w:tcBorders>
            <w:shd w:val="clear" w:color="auto" w:fill="auto"/>
            <w:tcMar>
              <w:left w:w="28" w:type="dxa"/>
              <w:right w:w="28" w:type="dxa"/>
            </w:tcMar>
            <w:vAlign w:val="center"/>
          </w:tcPr>
          <w:p w14:paraId="580E86BB" w14:textId="7EDC7102" w:rsidR="00DF02C4" w:rsidRPr="00DF02C4" w:rsidRDefault="00DF02C4" w:rsidP="001A3253">
            <w:pPr>
              <w:keepNext/>
              <w:keepLines/>
              <w:spacing w:before="20" w:after="20"/>
              <w:jc w:val="center"/>
              <w:rPr>
                <w:b/>
                <w:bCs w:val="0"/>
                <w:color w:val="auto"/>
                <w:sz w:val="20"/>
                <w:szCs w:val="20"/>
                <w:lang w:eastAsia="sk-SK"/>
              </w:rPr>
            </w:pPr>
            <w:r w:rsidRPr="00DF02C4">
              <w:rPr>
                <w:b/>
                <w:color w:val="auto"/>
                <w:sz w:val="20"/>
                <w:szCs w:val="20"/>
                <w:lang w:eastAsia="sk-SK"/>
              </w:rPr>
              <w:t>2014</w:t>
            </w:r>
          </w:p>
        </w:tc>
        <w:tc>
          <w:tcPr>
            <w:tcW w:w="279" w:type="pct"/>
            <w:tcBorders>
              <w:top w:val="double" w:sz="4" w:space="0" w:color="auto"/>
              <w:left w:val="nil"/>
              <w:bottom w:val="single" w:sz="4" w:space="0" w:color="auto"/>
            </w:tcBorders>
            <w:shd w:val="clear" w:color="auto" w:fill="auto"/>
            <w:tcMar>
              <w:left w:w="28" w:type="dxa"/>
              <w:right w:w="28" w:type="dxa"/>
            </w:tcMar>
            <w:vAlign w:val="center"/>
          </w:tcPr>
          <w:p w14:paraId="40539BDC" w14:textId="0CF33EE6" w:rsidR="00DF02C4" w:rsidRPr="00DF02C4" w:rsidRDefault="00DF02C4" w:rsidP="001A3253">
            <w:pPr>
              <w:keepNext/>
              <w:keepLines/>
              <w:spacing w:before="20" w:after="20"/>
              <w:jc w:val="center"/>
              <w:rPr>
                <w:b/>
                <w:bCs w:val="0"/>
                <w:color w:val="auto"/>
                <w:sz w:val="20"/>
                <w:szCs w:val="20"/>
                <w:lang w:eastAsia="sk-SK"/>
              </w:rPr>
            </w:pPr>
            <w:r w:rsidRPr="00DF02C4">
              <w:rPr>
                <w:b/>
                <w:color w:val="auto"/>
                <w:sz w:val="20"/>
                <w:szCs w:val="20"/>
                <w:lang w:eastAsia="sk-SK"/>
              </w:rPr>
              <w:t>201</w:t>
            </w:r>
            <w:r w:rsidR="003B3619">
              <w:rPr>
                <w:b/>
                <w:color w:val="auto"/>
                <w:sz w:val="20"/>
                <w:szCs w:val="20"/>
                <w:lang w:eastAsia="sk-SK"/>
              </w:rPr>
              <w:t>5</w:t>
            </w:r>
          </w:p>
        </w:tc>
        <w:tc>
          <w:tcPr>
            <w:tcW w:w="1409" w:type="pct"/>
            <w:gridSpan w:val="5"/>
            <w:tcBorders>
              <w:bottom w:val="single" w:sz="4" w:space="0" w:color="auto"/>
            </w:tcBorders>
            <w:shd w:val="clear" w:color="auto" w:fill="auto"/>
            <w:tcMar>
              <w:left w:w="28" w:type="dxa"/>
              <w:right w:w="28" w:type="dxa"/>
            </w:tcMar>
            <w:vAlign w:val="center"/>
          </w:tcPr>
          <w:p w14:paraId="628F29C0" w14:textId="16198BE4" w:rsidR="00DF02C4" w:rsidRPr="00DF02C4" w:rsidRDefault="00DF02C4" w:rsidP="001A3253">
            <w:pPr>
              <w:keepNext/>
              <w:keepLines/>
              <w:spacing w:before="20" w:after="20"/>
              <w:jc w:val="center"/>
              <w:rPr>
                <w:b/>
                <w:color w:val="auto"/>
                <w:sz w:val="20"/>
                <w:szCs w:val="20"/>
                <w:lang w:eastAsia="sk-SK"/>
              </w:rPr>
            </w:pPr>
            <w:r w:rsidRPr="00DF02C4">
              <w:rPr>
                <w:b/>
                <w:color w:val="auto"/>
                <w:sz w:val="20"/>
                <w:szCs w:val="20"/>
                <w:lang w:eastAsia="sk-SK"/>
              </w:rPr>
              <w:t>2016</w:t>
            </w:r>
          </w:p>
        </w:tc>
      </w:tr>
      <w:tr w:rsidR="00DF02C4" w:rsidRPr="00DF02C4" w14:paraId="6C645ED4" w14:textId="77777777" w:rsidTr="0074238E">
        <w:trPr>
          <w:trHeight w:val="300"/>
        </w:trPr>
        <w:tc>
          <w:tcPr>
            <w:tcW w:w="2197" w:type="pct"/>
            <w:vMerge/>
            <w:tcBorders>
              <w:bottom w:val="single" w:sz="4" w:space="0" w:color="auto"/>
            </w:tcBorders>
            <w:shd w:val="clear" w:color="auto" w:fill="auto"/>
            <w:tcMar>
              <w:left w:w="28" w:type="dxa"/>
              <w:right w:w="28" w:type="dxa"/>
            </w:tcMar>
            <w:vAlign w:val="center"/>
          </w:tcPr>
          <w:p w14:paraId="54E3DFDC" w14:textId="77777777" w:rsidR="00DF02C4" w:rsidRPr="00DF02C4" w:rsidRDefault="00DF02C4" w:rsidP="001A3253">
            <w:pPr>
              <w:keepNext/>
              <w:keepLines/>
              <w:spacing w:before="20" w:after="20"/>
              <w:rPr>
                <w:b/>
                <w:color w:val="auto"/>
                <w:sz w:val="20"/>
                <w:szCs w:val="20"/>
                <w:lang w:eastAsia="sk-SK"/>
              </w:rPr>
            </w:pPr>
          </w:p>
        </w:tc>
        <w:tc>
          <w:tcPr>
            <w:tcW w:w="1394" w:type="pct"/>
            <w:gridSpan w:val="5"/>
            <w:tcBorders>
              <w:top w:val="single" w:sz="4" w:space="0" w:color="auto"/>
              <w:bottom w:val="single" w:sz="4" w:space="0" w:color="auto"/>
            </w:tcBorders>
            <w:shd w:val="clear" w:color="auto" w:fill="auto"/>
            <w:tcMar>
              <w:left w:w="28" w:type="dxa"/>
              <w:right w:w="28" w:type="dxa"/>
            </w:tcMar>
            <w:vAlign w:val="center"/>
          </w:tcPr>
          <w:p w14:paraId="450FCFBE" w14:textId="77777777" w:rsidR="00DF02C4" w:rsidRPr="00DF02C4" w:rsidRDefault="00DF02C4" w:rsidP="001A3253">
            <w:pPr>
              <w:keepNext/>
              <w:keepLines/>
              <w:spacing w:before="20" w:after="20"/>
              <w:jc w:val="center"/>
              <w:rPr>
                <w:b/>
                <w:color w:val="auto"/>
                <w:sz w:val="20"/>
                <w:szCs w:val="20"/>
                <w:lang w:eastAsia="sk-SK"/>
              </w:rPr>
            </w:pPr>
            <w:r w:rsidRPr="00DF02C4">
              <w:rPr>
                <w:b/>
                <w:color w:val="auto"/>
                <w:sz w:val="20"/>
                <w:szCs w:val="20"/>
                <w:lang w:eastAsia="sk-SK"/>
              </w:rPr>
              <w:t>Slovenská republika</w:t>
            </w:r>
          </w:p>
        </w:tc>
        <w:tc>
          <w:tcPr>
            <w:tcW w:w="279" w:type="pct"/>
            <w:tcBorders>
              <w:top w:val="single" w:sz="4" w:space="0" w:color="auto"/>
              <w:bottom w:val="single" w:sz="4" w:space="0" w:color="auto"/>
              <w:right w:val="nil"/>
            </w:tcBorders>
            <w:shd w:val="clear" w:color="auto" w:fill="auto"/>
            <w:tcMar>
              <w:left w:w="28" w:type="dxa"/>
              <w:right w:w="28" w:type="dxa"/>
            </w:tcMar>
            <w:vAlign w:val="center"/>
          </w:tcPr>
          <w:p w14:paraId="0AA1772E" w14:textId="77777777" w:rsidR="00DF02C4" w:rsidRPr="00DF02C4" w:rsidRDefault="00DF02C4" w:rsidP="001A3253">
            <w:pPr>
              <w:keepNext/>
              <w:keepLines/>
              <w:spacing w:before="20" w:after="20"/>
              <w:jc w:val="center"/>
              <w:rPr>
                <w:b/>
                <w:color w:val="auto"/>
                <w:sz w:val="20"/>
                <w:szCs w:val="20"/>
                <w:lang w:eastAsia="sk-SK"/>
              </w:rPr>
            </w:pPr>
            <w:r w:rsidRPr="00DF02C4">
              <w:rPr>
                <w:b/>
                <w:color w:val="auto"/>
                <w:sz w:val="20"/>
                <w:szCs w:val="20"/>
                <w:lang w:eastAsia="sk-SK"/>
              </w:rPr>
              <w:t>SK</w:t>
            </w:r>
          </w:p>
        </w:tc>
        <w:tc>
          <w:tcPr>
            <w:tcW w:w="294" w:type="pct"/>
            <w:tcBorders>
              <w:top w:val="single" w:sz="4" w:space="0" w:color="auto"/>
              <w:left w:val="nil"/>
              <w:bottom w:val="single" w:sz="4" w:space="0" w:color="auto"/>
              <w:right w:val="nil"/>
            </w:tcBorders>
            <w:shd w:val="clear" w:color="auto" w:fill="auto"/>
            <w:tcMar>
              <w:left w:w="28" w:type="dxa"/>
              <w:right w:w="28" w:type="dxa"/>
            </w:tcMar>
            <w:vAlign w:val="center"/>
          </w:tcPr>
          <w:p w14:paraId="6F65DA4D" w14:textId="77777777" w:rsidR="00DF02C4" w:rsidRPr="00DF02C4" w:rsidRDefault="00DF02C4" w:rsidP="001A3253">
            <w:pPr>
              <w:keepNext/>
              <w:keepLines/>
              <w:spacing w:before="20" w:after="20"/>
              <w:jc w:val="center"/>
              <w:rPr>
                <w:b/>
                <w:color w:val="auto"/>
                <w:sz w:val="20"/>
                <w:szCs w:val="20"/>
                <w:lang w:eastAsia="sk-SK"/>
              </w:rPr>
            </w:pPr>
            <w:r w:rsidRPr="00DF02C4">
              <w:rPr>
                <w:b/>
                <w:color w:val="auto"/>
                <w:sz w:val="20"/>
                <w:szCs w:val="20"/>
                <w:lang w:eastAsia="sk-SK"/>
              </w:rPr>
              <w:t>EÚ28</w:t>
            </w:r>
          </w:p>
        </w:tc>
        <w:tc>
          <w:tcPr>
            <w:tcW w:w="279" w:type="pct"/>
            <w:tcBorders>
              <w:top w:val="single" w:sz="4" w:space="0" w:color="auto"/>
              <w:left w:val="nil"/>
              <w:bottom w:val="single" w:sz="4" w:space="0" w:color="auto"/>
              <w:right w:val="nil"/>
            </w:tcBorders>
            <w:shd w:val="clear" w:color="auto" w:fill="auto"/>
            <w:tcMar>
              <w:left w:w="28" w:type="dxa"/>
              <w:right w:w="28" w:type="dxa"/>
            </w:tcMar>
            <w:vAlign w:val="center"/>
          </w:tcPr>
          <w:p w14:paraId="3174BDD3" w14:textId="77777777" w:rsidR="00DF02C4" w:rsidRPr="00DF02C4" w:rsidRDefault="00DF02C4" w:rsidP="001A3253">
            <w:pPr>
              <w:keepNext/>
              <w:keepLines/>
              <w:spacing w:before="20" w:after="20"/>
              <w:jc w:val="center"/>
              <w:rPr>
                <w:b/>
                <w:color w:val="auto"/>
                <w:sz w:val="20"/>
                <w:szCs w:val="20"/>
                <w:lang w:eastAsia="sk-SK"/>
              </w:rPr>
            </w:pPr>
            <w:r w:rsidRPr="00DF02C4">
              <w:rPr>
                <w:b/>
                <w:color w:val="auto"/>
                <w:sz w:val="20"/>
                <w:szCs w:val="20"/>
                <w:lang w:eastAsia="sk-SK"/>
              </w:rPr>
              <w:t>CZ</w:t>
            </w:r>
          </w:p>
        </w:tc>
        <w:tc>
          <w:tcPr>
            <w:tcW w:w="279" w:type="pct"/>
            <w:tcBorders>
              <w:top w:val="single" w:sz="4" w:space="0" w:color="auto"/>
              <w:left w:val="nil"/>
              <w:bottom w:val="single" w:sz="4" w:space="0" w:color="auto"/>
              <w:right w:val="nil"/>
            </w:tcBorders>
            <w:shd w:val="clear" w:color="auto" w:fill="auto"/>
            <w:tcMar>
              <w:left w:w="28" w:type="dxa"/>
              <w:right w:w="28" w:type="dxa"/>
            </w:tcMar>
            <w:vAlign w:val="center"/>
          </w:tcPr>
          <w:p w14:paraId="66A3193F" w14:textId="77777777" w:rsidR="00DF02C4" w:rsidRPr="00DF02C4" w:rsidRDefault="00DF02C4" w:rsidP="001A3253">
            <w:pPr>
              <w:keepNext/>
              <w:keepLines/>
              <w:spacing w:before="20" w:after="20"/>
              <w:jc w:val="center"/>
              <w:rPr>
                <w:b/>
                <w:color w:val="auto"/>
                <w:sz w:val="20"/>
                <w:szCs w:val="20"/>
                <w:lang w:eastAsia="sk-SK"/>
              </w:rPr>
            </w:pPr>
            <w:r w:rsidRPr="00DF02C4">
              <w:rPr>
                <w:b/>
                <w:color w:val="auto"/>
                <w:sz w:val="20"/>
                <w:szCs w:val="20"/>
                <w:lang w:eastAsia="sk-SK"/>
              </w:rPr>
              <w:t>HU</w:t>
            </w:r>
          </w:p>
        </w:tc>
        <w:tc>
          <w:tcPr>
            <w:tcW w:w="279" w:type="pct"/>
            <w:tcBorders>
              <w:top w:val="single" w:sz="4" w:space="0" w:color="auto"/>
              <w:left w:val="nil"/>
              <w:bottom w:val="single" w:sz="4" w:space="0" w:color="auto"/>
            </w:tcBorders>
            <w:shd w:val="clear" w:color="auto" w:fill="auto"/>
            <w:tcMar>
              <w:left w:w="28" w:type="dxa"/>
              <w:right w:w="28" w:type="dxa"/>
            </w:tcMar>
            <w:vAlign w:val="center"/>
          </w:tcPr>
          <w:p w14:paraId="1A0C7EAC" w14:textId="77777777" w:rsidR="00DF02C4" w:rsidRPr="00DF02C4" w:rsidRDefault="00DF02C4" w:rsidP="001A3253">
            <w:pPr>
              <w:keepNext/>
              <w:keepLines/>
              <w:spacing w:before="20" w:after="20"/>
              <w:jc w:val="center"/>
              <w:rPr>
                <w:b/>
                <w:color w:val="auto"/>
                <w:sz w:val="20"/>
                <w:szCs w:val="20"/>
                <w:lang w:eastAsia="sk-SK"/>
              </w:rPr>
            </w:pPr>
            <w:r w:rsidRPr="00DF02C4">
              <w:rPr>
                <w:b/>
                <w:color w:val="auto"/>
                <w:sz w:val="20"/>
                <w:szCs w:val="20"/>
                <w:lang w:eastAsia="sk-SK"/>
              </w:rPr>
              <w:t>PL</w:t>
            </w:r>
          </w:p>
        </w:tc>
      </w:tr>
      <w:tr w:rsidR="003B3619" w:rsidRPr="00DF02C4" w14:paraId="29A803C9" w14:textId="77777777" w:rsidTr="0074238E">
        <w:trPr>
          <w:trHeight w:val="300"/>
        </w:trPr>
        <w:tc>
          <w:tcPr>
            <w:tcW w:w="2197" w:type="pct"/>
            <w:tcBorders>
              <w:top w:val="single" w:sz="4" w:space="0" w:color="auto"/>
              <w:bottom w:val="single" w:sz="4" w:space="0" w:color="auto"/>
            </w:tcBorders>
            <w:shd w:val="clear" w:color="auto" w:fill="auto"/>
            <w:tcMar>
              <w:left w:w="28" w:type="dxa"/>
              <w:right w:w="28" w:type="dxa"/>
            </w:tcMar>
            <w:vAlign w:val="center"/>
          </w:tcPr>
          <w:p w14:paraId="6196DCC1" w14:textId="77777777" w:rsidR="00DF02C4" w:rsidRPr="00DF02C4" w:rsidRDefault="00DF02C4" w:rsidP="001A3253">
            <w:pPr>
              <w:keepNext/>
              <w:keepLines/>
              <w:spacing w:before="20" w:after="20"/>
              <w:rPr>
                <w:sz w:val="20"/>
                <w:szCs w:val="20"/>
                <w:lang w:eastAsia="sk-SK"/>
              </w:rPr>
            </w:pPr>
            <w:r w:rsidRPr="00DF02C4">
              <w:rPr>
                <w:sz w:val="20"/>
                <w:szCs w:val="20"/>
                <w:lang w:eastAsia="sk-SK"/>
              </w:rPr>
              <w:t>Celkové výdavky na VaV, % HDP</w:t>
            </w:r>
          </w:p>
        </w:tc>
        <w:tc>
          <w:tcPr>
            <w:tcW w:w="279" w:type="pct"/>
            <w:tcBorders>
              <w:top w:val="single" w:sz="4" w:space="0" w:color="auto"/>
              <w:bottom w:val="single" w:sz="4" w:space="0" w:color="auto"/>
              <w:right w:val="nil"/>
            </w:tcBorders>
            <w:tcMar>
              <w:left w:w="28" w:type="dxa"/>
              <w:right w:w="28" w:type="dxa"/>
            </w:tcMar>
            <w:vAlign w:val="center"/>
          </w:tcPr>
          <w:p w14:paraId="739FCE1F" w14:textId="4BE53FFC" w:rsidR="00DF02C4" w:rsidRPr="00DF02C4" w:rsidRDefault="00DF02C4" w:rsidP="001A3253">
            <w:pPr>
              <w:keepNext/>
              <w:keepLines/>
              <w:spacing w:before="20" w:after="20"/>
              <w:jc w:val="center"/>
              <w:rPr>
                <w:sz w:val="20"/>
                <w:szCs w:val="20"/>
                <w:lang w:eastAsia="sk-SK"/>
              </w:rPr>
            </w:pPr>
            <w:r w:rsidRPr="00DF02C4">
              <w:rPr>
                <w:sz w:val="20"/>
                <w:szCs w:val="20"/>
                <w:lang w:eastAsia="sk-SK"/>
              </w:rPr>
              <w:t>0,66</w:t>
            </w:r>
          </w:p>
        </w:tc>
        <w:tc>
          <w:tcPr>
            <w:tcW w:w="279" w:type="pct"/>
            <w:tcBorders>
              <w:top w:val="single" w:sz="4" w:space="0" w:color="auto"/>
              <w:left w:val="nil"/>
              <w:bottom w:val="single" w:sz="4" w:space="0" w:color="auto"/>
              <w:right w:val="nil"/>
            </w:tcBorders>
            <w:tcMar>
              <w:left w:w="28" w:type="dxa"/>
              <w:right w:w="28" w:type="dxa"/>
            </w:tcMar>
            <w:vAlign w:val="center"/>
          </w:tcPr>
          <w:p w14:paraId="54B37EAF" w14:textId="55CFD8D6" w:rsidR="00DF02C4" w:rsidRPr="00DF02C4" w:rsidRDefault="00DF02C4" w:rsidP="001A3253">
            <w:pPr>
              <w:keepNext/>
              <w:keepLines/>
              <w:spacing w:before="20" w:after="20"/>
              <w:jc w:val="center"/>
              <w:rPr>
                <w:sz w:val="20"/>
                <w:szCs w:val="20"/>
                <w:lang w:eastAsia="sk-SK"/>
              </w:rPr>
            </w:pPr>
            <w:r w:rsidRPr="00DF02C4">
              <w:rPr>
                <w:sz w:val="20"/>
                <w:szCs w:val="20"/>
                <w:lang w:eastAsia="sk-SK"/>
              </w:rPr>
              <w:t>0,80</w:t>
            </w:r>
          </w:p>
        </w:tc>
        <w:tc>
          <w:tcPr>
            <w:tcW w:w="279" w:type="pct"/>
            <w:tcBorders>
              <w:top w:val="single" w:sz="4" w:space="0" w:color="auto"/>
              <w:left w:val="nil"/>
              <w:bottom w:val="single" w:sz="4" w:space="0" w:color="auto"/>
              <w:right w:val="nil"/>
            </w:tcBorders>
            <w:tcMar>
              <w:left w:w="28" w:type="dxa"/>
              <w:right w:w="28" w:type="dxa"/>
            </w:tcMar>
            <w:vAlign w:val="center"/>
          </w:tcPr>
          <w:p w14:paraId="050FF07F" w14:textId="21946A91" w:rsidR="00DF02C4" w:rsidRPr="00DF02C4" w:rsidRDefault="00DF02C4" w:rsidP="001A3253">
            <w:pPr>
              <w:keepNext/>
              <w:keepLines/>
              <w:spacing w:before="20" w:after="20"/>
              <w:jc w:val="center"/>
              <w:rPr>
                <w:sz w:val="20"/>
                <w:szCs w:val="20"/>
                <w:lang w:eastAsia="sk-SK"/>
              </w:rPr>
            </w:pPr>
            <w:r w:rsidRPr="00DF02C4">
              <w:rPr>
                <w:sz w:val="20"/>
                <w:szCs w:val="20"/>
                <w:lang w:eastAsia="sk-SK"/>
              </w:rPr>
              <w:t>0,82</w:t>
            </w:r>
          </w:p>
        </w:tc>
        <w:tc>
          <w:tcPr>
            <w:tcW w:w="279" w:type="pct"/>
            <w:tcBorders>
              <w:top w:val="single" w:sz="4" w:space="0" w:color="auto"/>
              <w:left w:val="nil"/>
              <w:bottom w:val="single" w:sz="4" w:space="0" w:color="auto"/>
              <w:right w:val="nil"/>
            </w:tcBorders>
            <w:tcMar>
              <w:left w:w="28" w:type="dxa"/>
              <w:right w:w="28" w:type="dxa"/>
            </w:tcMar>
            <w:vAlign w:val="center"/>
          </w:tcPr>
          <w:p w14:paraId="4F89E159" w14:textId="1D88C21A" w:rsidR="00DF02C4" w:rsidRPr="00DF02C4" w:rsidRDefault="00DF02C4" w:rsidP="001A3253">
            <w:pPr>
              <w:keepNext/>
              <w:keepLines/>
              <w:spacing w:before="20" w:after="20"/>
              <w:jc w:val="center"/>
              <w:rPr>
                <w:sz w:val="20"/>
                <w:szCs w:val="20"/>
                <w:lang w:eastAsia="sk-SK"/>
              </w:rPr>
            </w:pPr>
            <w:r w:rsidRPr="00DF02C4">
              <w:rPr>
                <w:sz w:val="20"/>
                <w:szCs w:val="20"/>
                <w:lang w:eastAsia="sk-SK"/>
              </w:rPr>
              <w:t>0,88</w:t>
            </w:r>
          </w:p>
        </w:tc>
        <w:tc>
          <w:tcPr>
            <w:tcW w:w="279" w:type="pct"/>
            <w:tcBorders>
              <w:top w:val="single" w:sz="4" w:space="0" w:color="auto"/>
              <w:left w:val="nil"/>
              <w:bottom w:val="single" w:sz="4" w:space="0" w:color="auto"/>
            </w:tcBorders>
            <w:tcMar>
              <w:left w:w="28" w:type="dxa"/>
              <w:right w:w="28" w:type="dxa"/>
            </w:tcMar>
            <w:vAlign w:val="center"/>
          </w:tcPr>
          <w:p w14:paraId="7796E96C" w14:textId="228B2D5F" w:rsidR="00DF02C4" w:rsidRPr="00DF02C4" w:rsidRDefault="00DF02C4" w:rsidP="001A3253">
            <w:pPr>
              <w:keepNext/>
              <w:keepLines/>
              <w:spacing w:before="20" w:after="20"/>
              <w:jc w:val="center"/>
              <w:rPr>
                <w:sz w:val="20"/>
                <w:szCs w:val="20"/>
                <w:lang w:eastAsia="sk-SK"/>
              </w:rPr>
            </w:pPr>
            <w:r w:rsidRPr="00DF02C4">
              <w:rPr>
                <w:sz w:val="20"/>
                <w:szCs w:val="20"/>
                <w:lang w:eastAsia="sk-SK"/>
              </w:rPr>
              <w:t>1,18</w:t>
            </w:r>
          </w:p>
        </w:tc>
        <w:tc>
          <w:tcPr>
            <w:tcW w:w="279" w:type="pct"/>
            <w:tcBorders>
              <w:top w:val="single" w:sz="4" w:space="0" w:color="auto"/>
              <w:bottom w:val="single" w:sz="4" w:space="0" w:color="auto"/>
              <w:right w:val="nil"/>
            </w:tcBorders>
            <w:shd w:val="clear" w:color="auto" w:fill="auto"/>
            <w:tcMar>
              <w:left w:w="28" w:type="dxa"/>
              <w:right w:w="28" w:type="dxa"/>
            </w:tcMar>
            <w:vAlign w:val="center"/>
          </w:tcPr>
          <w:p w14:paraId="7385C91F" w14:textId="4FF0575B" w:rsidR="00DF02C4" w:rsidRPr="00DF02C4" w:rsidRDefault="003B3619" w:rsidP="001A3253">
            <w:pPr>
              <w:keepNext/>
              <w:keepLines/>
              <w:spacing w:before="20" w:after="20"/>
              <w:jc w:val="center"/>
              <w:rPr>
                <w:sz w:val="20"/>
                <w:szCs w:val="20"/>
                <w:lang w:eastAsia="sk-SK"/>
              </w:rPr>
            </w:pPr>
            <w:r>
              <w:rPr>
                <w:sz w:val="20"/>
                <w:szCs w:val="20"/>
                <w:lang w:eastAsia="sk-SK"/>
              </w:rPr>
              <w:t>0,79</w:t>
            </w:r>
          </w:p>
        </w:tc>
        <w:tc>
          <w:tcPr>
            <w:tcW w:w="294" w:type="pct"/>
            <w:tcBorders>
              <w:top w:val="single" w:sz="4" w:space="0" w:color="auto"/>
              <w:left w:val="nil"/>
              <w:bottom w:val="single" w:sz="4" w:space="0" w:color="auto"/>
              <w:right w:val="nil"/>
            </w:tcBorders>
            <w:shd w:val="clear" w:color="auto" w:fill="auto"/>
            <w:tcMar>
              <w:left w:w="28" w:type="dxa"/>
              <w:right w:w="28" w:type="dxa"/>
            </w:tcMar>
            <w:vAlign w:val="center"/>
          </w:tcPr>
          <w:p w14:paraId="6E8191E3" w14:textId="1852748B" w:rsidR="00DF02C4" w:rsidRPr="00DF02C4" w:rsidRDefault="004974C6" w:rsidP="001A3253">
            <w:pPr>
              <w:keepNext/>
              <w:keepLines/>
              <w:spacing w:before="20" w:after="20"/>
              <w:jc w:val="center"/>
              <w:rPr>
                <w:sz w:val="20"/>
                <w:szCs w:val="20"/>
                <w:lang w:eastAsia="sk-SK"/>
              </w:rPr>
            </w:pPr>
            <w:r>
              <w:rPr>
                <w:sz w:val="20"/>
                <w:szCs w:val="20"/>
                <w:lang w:eastAsia="sk-SK"/>
              </w:rPr>
              <w:t>2,03</w:t>
            </w:r>
          </w:p>
        </w:tc>
        <w:tc>
          <w:tcPr>
            <w:tcW w:w="279" w:type="pct"/>
            <w:tcBorders>
              <w:top w:val="single" w:sz="4" w:space="0" w:color="auto"/>
              <w:left w:val="nil"/>
              <w:bottom w:val="single" w:sz="4" w:space="0" w:color="auto"/>
              <w:right w:val="nil"/>
            </w:tcBorders>
            <w:tcMar>
              <w:left w:w="28" w:type="dxa"/>
              <w:right w:w="28" w:type="dxa"/>
            </w:tcMar>
            <w:vAlign w:val="center"/>
          </w:tcPr>
          <w:p w14:paraId="7BC69365" w14:textId="277A84B8" w:rsidR="00DF02C4" w:rsidRPr="00DF02C4" w:rsidRDefault="004974C6" w:rsidP="001A3253">
            <w:pPr>
              <w:keepNext/>
              <w:keepLines/>
              <w:spacing w:before="20" w:after="20"/>
              <w:jc w:val="center"/>
              <w:rPr>
                <w:sz w:val="20"/>
                <w:szCs w:val="20"/>
                <w:lang w:eastAsia="sk-SK"/>
              </w:rPr>
            </w:pPr>
            <w:r>
              <w:rPr>
                <w:sz w:val="20"/>
                <w:szCs w:val="20"/>
                <w:lang w:eastAsia="sk-SK"/>
              </w:rPr>
              <w:t>1,68</w:t>
            </w:r>
          </w:p>
        </w:tc>
        <w:tc>
          <w:tcPr>
            <w:tcW w:w="279" w:type="pct"/>
            <w:tcBorders>
              <w:top w:val="single" w:sz="4" w:space="0" w:color="auto"/>
              <w:left w:val="nil"/>
              <w:bottom w:val="single" w:sz="4" w:space="0" w:color="auto"/>
              <w:right w:val="nil"/>
            </w:tcBorders>
            <w:tcMar>
              <w:left w:w="28" w:type="dxa"/>
              <w:right w:w="28" w:type="dxa"/>
            </w:tcMar>
            <w:vAlign w:val="center"/>
          </w:tcPr>
          <w:p w14:paraId="0C11731E" w14:textId="13168823" w:rsidR="00DF02C4" w:rsidRPr="00DF02C4" w:rsidRDefault="003B3619" w:rsidP="001A3253">
            <w:pPr>
              <w:keepNext/>
              <w:keepLines/>
              <w:spacing w:before="20" w:after="20"/>
              <w:jc w:val="center"/>
              <w:rPr>
                <w:sz w:val="20"/>
                <w:szCs w:val="20"/>
                <w:lang w:eastAsia="sk-SK"/>
              </w:rPr>
            </w:pPr>
            <w:r>
              <w:rPr>
                <w:sz w:val="20"/>
                <w:szCs w:val="20"/>
                <w:lang w:eastAsia="sk-SK"/>
              </w:rPr>
              <w:t>1,21</w:t>
            </w:r>
          </w:p>
        </w:tc>
        <w:tc>
          <w:tcPr>
            <w:tcW w:w="279" w:type="pct"/>
            <w:tcBorders>
              <w:top w:val="single" w:sz="4" w:space="0" w:color="auto"/>
              <w:left w:val="nil"/>
              <w:bottom w:val="single" w:sz="4" w:space="0" w:color="auto"/>
            </w:tcBorders>
            <w:tcMar>
              <w:left w:w="28" w:type="dxa"/>
              <w:right w:w="28" w:type="dxa"/>
            </w:tcMar>
            <w:vAlign w:val="center"/>
          </w:tcPr>
          <w:p w14:paraId="147A0F42" w14:textId="50AB4363" w:rsidR="00DF02C4" w:rsidRPr="00DF02C4" w:rsidRDefault="003B3619" w:rsidP="001A3253">
            <w:pPr>
              <w:keepNext/>
              <w:keepLines/>
              <w:spacing w:before="20" w:after="20"/>
              <w:jc w:val="center"/>
              <w:rPr>
                <w:sz w:val="20"/>
                <w:szCs w:val="20"/>
                <w:lang w:eastAsia="sk-SK"/>
              </w:rPr>
            </w:pPr>
            <w:r>
              <w:rPr>
                <w:sz w:val="20"/>
                <w:szCs w:val="20"/>
                <w:lang w:eastAsia="sk-SK"/>
              </w:rPr>
              <w:t>1,00</w:t>
            </w:r>
          </w:p>
        </w:tc>
      </w:tr>
      <w:tr w:rsidR="003B3619" w:rsidRPr="00DF02C4" w14:paraId="59BA92AC" w14:textId="77777777" w:rsidTr="0074238E">
        <w:trPr>
          <w:trHeight w:val="300"/>
        </w:trPr>
        <w:tc>
          <w:tcPr>
            <w:tcW w:w="2197" w:type="pct"/>
            <w:tcBorders>
              <w:top w:val="single" w:sz="4" w:space="0" w:color="auto"/>
              <w:bottom w:val="single" w:sz="4" w:space="0" w:color="auto"/>
            </w:tcBorders>
            <w:shd w:val="clear" w:color="auto" w:fill="auto"/>
            <w:tcMar>
              <w:left w:w="28" w:type="dxa"/>
              <w:right w:w="28" w:type="dxa"/>
            </w:tcMar>
            <w:vAlign w:val="center"/>
          </w:tcPr>
          <w:p w14:paraId="2DA60153" w14:textId="77777777" w:rsidR="00DF02C4" w:rsidRPr="00DF02C4" w:rsidRDefault="00DF02C4" w:rsidP="001A3253">
            <w:pPr>
              <w:keepNext/>
              <w:keepLines/>
              <w:spacing w:before="20" w:after="20"/>
              <w:rPr>
                <w:sz w:val="20"/>
                <w:szCs w:val="20"/>
                <w:lang w:eastAsia="sk-SK"/>
              </w:rPr>
            </w:pPr>
            <w:r w:rsidRPr="00DF02C4">
              <w:rPr>
                <w:sz w:val="20"/>
                <w:szCs w:val="20"/>
                <w:lang w:eastAsia="sk-SK"/>
              </w:rPr>
              <w:t>Podnikové výdavky na VaV, % HDP</w:t>
            </w:r>
          </w:p>
        </w:tc>
        <w:tc>
          <w:tcPr>
            <w:tcW w:w="279" w:type="pct"/>
            <w:tcBorders>
              <w:top w:val="single" w:sz="4" w:space="0" w:color="auto"/>
              <w:bottom w:val="single" w:sz="4" w:space="0" w:color="auto"/>
              <w:right w:val="nil"/>
            </w:tcBorders>
            <w:tcMar>
              <w:left w:w="28" w:type="dxa"/>
              <w:right w:w="28" w:type="dxa"/>
            </w:tcMar>
            <w:vAlign w:val="center"/>
          </w:tcPr>
          <w:p w14:paraId="548D95AF" w14:textId="6B2AA793" w:rsidR="00DF02C4" w:rsidRPr="00DF02C4" w:rsidRDefault="00DF02C4" w:rsidP="001A3253">
            <w:pPr>
              <w:keepNext/>
              <w:keepLines/>
              <w:spacing w:before="20" w:after="20"/>
              <w:jc w:val="center"/>
              <w:rPr>
                <w:sz w:val="20"/>
                <w:szCs w:val="20"/>
                <w:lang w:eastAsia="sk-SK"/>
              </w:rPr>
            </w:pPr>
            <w:r w:rsidRPr="00DF02C4">
              <w:rPr>
                <w:sz w:val="20"/>
                <w:szCs w:val="20"/>
                <w:lang w:eastAsia="sk-SK"/>
              </w:rPr>
              <w:t>0,25</w:t>
            </w:r>
          </w:p>
        </w:tc>
        <w:tc>
          <w:tcPr>
            <w:tcW w:w="279" w:type="pct"/>
            <w:tcBorders>
              <w:top w:val="single" w:sz="4" w:space="0" w:color="auto"/>
              <w:left w:val="nil"/>
              <w:bottom w:val="single" w:sz="4" w:space="0" w:color="auto"/>
              <w:right w:val="nil"/>
            </w:tcBorders>
            <w:tcMar>
              <w:left w:w="28" w:type="dxa"/>
              <w:right w:w="28" w:type="dxa"/>
            </w:tcMar>
            <w:vAlign w:val="center"/>
          </w:tcPr>
          <w:p w14:paraId="56B42DD2" w14:textId="5FC4AEB3" w:rsidR="00DF02C4" w:rsidRPr="00DF02C4" w:rsidRDefault="00DF02C4" w:rsidP="001A3253">
            <w:pPr>
              <w:keepNext/>
              <w:keepLines/>
              <w:spacing w:before="20" w:after="20"/>
              <w:jc w:val="center"/>
              <w:rPr>
                <w:sz w:val="20"/>
                <w:szCs w:val="20"/>
                <w:lang w:eastAsia="sk-SK"/>
              </w:rPr>
            </w:pPr>
            <w:r w:rsidRPr="00DF02C4">
              <w:rPr>
                <w:sz w:val="20"/>
                <w:szCs w:val="20"/>
                <w:lang w:eastAsia="sk-SK"/>
              </w:rPr>
              <w:t>0,33</w:t>
            </w:r>
          </w:p>
        </w:tc>
        <w:tc>
          <w:tcPr>
            <w:tcW w:w="279" w:type="pct"/>
            <w:tcBorders>
              <w:top w:val="single" w:sz="4" w:space="0" w:color="auto"/>
              <w:left w:val="nil"/>
              <w:bottom w:val="single" w:sz="4" w:space="0" w:color="auto"/>
              <w:right w:val="nil"/>
            </w:tcBorders>
            <w:tcMar>
              <w:left w:w="28" w:type="dxa"/>
              <w:right w:w="28" w:type="dxa"/>
            </w:tcMar>
            <w:vAlign w:val="center"/>
          </w:tcPr>
          <w:p w14:paraId="594EA38F" w14:textId="154701B6" w:rsidR="00DF02C4" w:rsidRPr="00DF02C4" w:rsidRDefault="00DF02C4" w:rsidP="001A3253">
            <w:pPr>
              <w:keepNext/>
              <w:keepLines/>
              <w:spacing w:before="20" w:after="20"/>
              <w:jc w:val="center"/>
              <w:rPr>
                <w:sz w:val="20"/>
                <w:szCs w:val="20"/>
                <w:lang w:eastAsia="sk-SK"/>
              </w:rPr>
            </w:pPr>
            <w:r w:rsidRPr="00DF02C4">
              <w:rPr>
                <w:sz w:val="20"/>
                <w:szCs w:val="20"/>
                <w:lang w:eastAsia="sk-SK"/>
              </w:rPr>
              <w:t>0,38</w:t>
            </w:r>
          </w:p>
        </w:tc>
        <w:tc>
          <w:tcPr>
            <w:tcW w:w="279" w:type="pct"/>
            <w:tcBorders>
              <w:top w:val="single" w:sz="4" w:space="0" w:color="auto"/>
              <w:left w:val="nil"/>
              <w:bottom w:val="single" w:sz="4" w:space="0" w:color="auto"/>
              <w:right w:val="nil"/>
            </w:tcBorders>
            <w:tcMar>
              <w:left w:w="28" w:type="dxa"/>
              <w:right w:w="28" w:type="dxa"/>
            </w:tcMar>
            <w:vAlign w:val="center"/>
          </w:tcPr>
          <w:p w14:paraId="38E58FB9" w14:textId="463E80D9" w:rsidR="00DF02C4" w:rsidRPr="00DF02C4" w:rsidRDefault="00DF02C4" w:rsidP="001A3253">
            <w:pPr>
              <w:keepNext/>
              <w:keepLines/>
              <w:spacing w:before="20" w:after="20"/>
              <w:jc w:val="center"/>
              <w:rPr>
                <w:sz w:val="20"/>
                <w:szCs w:val="20"/>
                <w:lang w:eastAsia="sk-SK"/>
              </w:rPr>
            </w:pPr>
            <w:r w:rsidRPr="00DF02C4">
              <w:rPr>
                <w:sz w:val="20"/>
                <w:szCs w:val="20"/>
                <w:lang w:eastAsia="sk-SK"/>
              </w:rPr>
              <w:t>0,32</w:t>
            </w:r>
          </w:p>
        </w:tc>
        <w:tc>
          <w:tcPr>
            <w:tcW w:w="279" w:type="pct"/>
            <w:tcBorders>
              <w:top w:val="single" w:sz="4" w:space="0" w:color="auto"/>
              <w:left w:val="nil"/>
              <w:bottom w:val="single" w:sz="4" w:space="0" w:color="auto"/>
            </w:tcBorders>
            <w:tcMar>
              <w:left w:w="28" w:type="dxa"/>
              <w:right w:w="28" w:type="dxa"/>
            </w:tcMar>
            <w:vAlign w:val="center"/>
          </w:tcPr>
          <w:p w14:paraId="59C77FD3" w14:textId="66E1E8A2" w:rsidR="00DF02C4" w:rsidRPr="00DF02C4" w:rsidRDefault="00DF02C4" w:rsidP="001A3253">
            <w:pPr>
              <w:keepNext/>
              <w:keepLines/>
              <w:spacing w:before="20" w:after="20"/>
              <w:jc w:val="center"/>
              <w:rPr>
                <w:sz w:val="20"/>
                <w:szCs w:val="20"/>
                <w:lang w:eastAsia="sk-SK"/>
              </w:rPr>
            </w:pPr>
            <w:r w:rsidRPr="00DF02C4">
              <w:rPr>
                <w:sz w:val="20"/>
                <w:szCs w:val="20"/>
                <w:lang w:eastAsia="sk-SK"/>
              </w:rPr>
              <w:t>0,33</w:t>
            </w:r>
          </w:p>
        </w:tc>
        <w:tc>
          <w:tcPr>
            <w:tcW w:w="279" w:type="pct"/>
            <w:tcBorders>
              <w:top w:val="single" w:sz="4" w:space="0" w:color="auto"/>
              <w:bottom w:val="single" w:sz="4" w:space="0" w:color="auto"/>
              <w:right w:val="nil"/>
            </w:tcBorders>
            <w:shd w:val="clear" w:color="auto" w:fill="auto"/>
            <w:tcMar>
              <w:left w:w="28" w:type="dxa"/>
              <w:right w:w="28" w:type="dxa"/>
            </w:tcMar>
            <w:vAlign w:val="center"/>
          </w:tcPr>
          <w:p w14:paraId="557FB6C4" w14:textId="52EC6760" w:rsidR="00DF02C4" w:rsidRPr="00DF02C4" w:rsidRDefault="003B3619" w:rsidP="001A3253">
            <w:pPr>
              <w:keepNext/>
              <w:keepLines/>
              <w:spacing w:before="20" w:after="20"/>
              <w:jc w:val="center"/>
              <w:rPr>
                <w:sz w:val="20"/>
                <w:szCs w:val="20"/>
                <w:lang w:eastAsia="sk-SK"/>
              </w:rPr>
            </w:pPr>
            <w:r>
              <w:rPr>
                <w:sz w:val="20"/>
                <w:szCs w:val="20"/>
                <w:lang w:eastAsia="sk-SK"/>
              </w:rPr>
              <w:t>0,40</w:t>
            </w:r>
          </w:p>
        </w:tc>
        <w:tc>
          <w:tcPr>
            <w:tcW w:w="294" w:type="pct"/>
            <w:tcBorders>
              <w:top w:val="single" w:sz="4" w:space="0" w:color="auto"/>
              <w:left w:val="nil"/>
              <w:bottom w:val="single" w:sz="4" w:space="0" w:color="auto"/>
              <w:right w:val="nil"/>
            </w:tcBorders>
            <w:shd w:val="clear" w:color="auto" w:fill="auto"/>
            <w:tcMar>
              <w:left w:w="28" w:type="dxa"/>
              <w:right w:w="28" w:type="dxa"/>
            </w:tcMar>
            <w:vAlign w:val="center"/>
          </w:tcPr>
          <w:p w14:paraId="1F93535F" w14:textId="4BD305B1" w:rsidR="00DF02C4" w:rsidRPr="00DF02C4" w:rsidRDefault="003B3619" w:rsidP="001A3253">
            <w:pPr>
              <w:keepNext/>
              <w:keepLines/>
              <w:spacing w:before="20" w:after="20"/>
              <w:jc w:val="center"/>
              <w:rPr>
                <w:sz w:val="20"/>
                <w:szCs w:val="20"/>
                <w:lang w:eastAsia="sk-SK"/>
              </w:rPr>
            </w:pPr>
            <w:r>
              <w:rPr>
                <w:sz w:val="20"/>
                <w:szCs w:val="20"/>
                <w:lang w:eastAsia="sk-SK"/>
              </w:rPr>
              <w:t>1,31</w:t>
            </w:r>
          </w:p>
        </w:tc>
        <w:tc>
          <w:tcPr>
            <w:tcW w:w="279" w:type="pct"/>
            <w:tcBorders>
              <w:top w:val="single" w:sz="4" w:space="0" w:color="auto"/>
              <w:left w:val="nil"/>
              <w:bottom w:val="single" w:sz="4" w:space="0" w:color="auto"/>
              <w:right w:val="nil"/>
            </w:tcBorders>
            <w:tcMar>
              <w:left w:w="28" w:type="dxa"/>
              <w:right w:w="28" w:type="dxa"/>
            </w:tcMar>
            <w:vAlign w:val="center"/>
          </w:tcPr>
          <w:p w14:paraId="71F23901" w14:textId="147B8D1E" w:rsidR="00DF02C4" w:rsidRPr="00DF02C4" w:rsidRDefault="003B3619" w:rsidP="001A3253">
            <w:pPr>
              <w:keepNext/>
              <w:keepLines/>
              <w:spacing w:before="20" w:after="20"/>
              <w:jc w:val="center"/>
              <w:rPr>
                <w:sz w:val="20"/>
                <w:szCs w:val="20"/>
                <w:lang w:eastAsia="sk-SK"/>
              </w:rPr>
            </w:pPr>
            <w:r>
              <w:rPr>
                <w:sz w:val="20"/>
                <w:szCs w:val="20"/>
                <w:lang w:eastAsia="sk-SK"/>
              </w:rPr>
              <w:t>1,03</w:t>
            </w:r>
          </w:p>
        </w:tc>
        <w:tc>
          <w:tcPr>
            <w:tcW w:w="279" w:type="pct"/>
            <w:tcBorders>
              <w:top w:val="single" w:sz="4" w:space="0" w:color="auto"/>
              <w:left w:val="nil"/>
              <w:bottom w:val="single" w:sz="4" w:space="0" w:color="auto"/>
              <w:right w:val="nil"/>
            </w:tcBorders>
            <w:tcMar>
              <w:left w:w="28" w:type="dxa"/>
              <w:right w:w="28" w:type="dxa"/>
            </w:tcMar>
            <w:vAlign w:val="center"/>
          </w:tcPr>
          <w:p w14:paraId="7481BEDD" w14:textId="429CFCCA" w:rsidR="00DF02C4" w:rsidRPr="00DF02C4" w:rsidRDefault="003B3619" w:rsidP="001A3253">
            <w:pPr>
              <w:keepNext/>
              <w:keepLines/>
              <w:spacing w:before="20" w:after="20"/>
              <w:jc w:val="center"/>
              <w:rPr>
                <w:sz w:val="20"/>
                <w:szCs w:val="20"/>
                <w:lang w:eastAsia="sk-SK"/>
              </w:rPr>
            </w:pPr>
            <w:r>
              <w:rPr>
                <w:sz w:val="20"/>
                <w:szCs w:val="20"/>
                <w:lang w:eastAsia="sk-SK"/>
              </w:rPr>
              <w:t>0,89</w:t>
            </w:r>
          </w:p>
        </w:tc>
        <w:tc>
          <w:tcPr>
            <w:tcW w:w="279" w:type="pct"/>
            <w:tcBorders>
              <w:top w:val="single" w:sz="4" w:space="0" w:color="auto"/>
              <w:left w:val="nil"/>
              <w:bottom w:val="single" w:sz="4" w:space="0" w:color="auto"/>
            </w:tcBorders>
            <w:tcMar>
              <w:left w:w="28" w:type="dxa"/>
              <w:right w:w="28" w:type="dxa"/>
            </w:tcMar>
            <w:vAlign w:val="center"/>
          </w:tcPr>
          <w:p w14:paraId="30842CE1" w14:textId="5A2DDDA3" w:rsidR="00DF02C4" w:rsidRPr="00DF02C4" w:rsidRDefault="003B3619" w:rsidP="001A3253">
            <w:pPr>
              <w:keepNext/>
              <w:keepLines/>
              <w:spacing w:before="20" w:after="20"/>
              <w:jc w:val="center"/>
              <w:rPr>
                <w:sz w:val="20"/>
                <w:szCs w:val="20"/>
                <w:lang w:eastAsia="sk-SK"/>
              </w:rPr>
            </w:pPr>
            <w:r>
              <w:rPr>
                <w:sz w:val="20"/>
                <w:szCs w:val="20"/>
                <w:lang w:eastAsia="sk-SK"/>
              </w:rPr>
              <w:t>0,47</w:t>
            </w:r>
          </w:p>
        </w:tc>
      </w:tr>
      <w:tr w:rsidR="003B3619" w:rsidRPr="00DF02C4" w14:paraId="0544BA86" w14:textId="77777777" w:rsidTr="0074238E">
        <w:trPr>
          <w:trHeight w:val="300"/>
        </w:trPr>
        <w:tc>
          <w:tcPr>
            <w:tcW w:w="2197" w:type="pct"/>
            <w:tcBorders>
              <w:top w:val="single" w:sz="4" w:space="0" w:color="auto"/>
              <w:bottom w:val="single" w:sz="4" w:space="0" w:color="auto"/>
            </w:tcBorders>
            <w:shd w:val="clear" w:color="auto" w:fill="auto"/>
            <w:tcMar>
              <w:left w:w="28" w:type="dxa"/>
              <w:right w:w="28" w:type="dxa"/>
            </w:tcMar>
            <w:vAlign w:val="center"/>
          </w:tcPr>
          <w:p w14:paraId="6599AFA4" w14:textId="410C6810" w:rsidR="00DF02C4" w:rsidRPr="00DF02C4" w:rsidRDefault="00DF02C4" w:rsidP="001A3253">
            <w:pPr>
              <w:keepNext/>
              <w:keepLines/>
              <w:spacing w:before="20" w:after="20"/>
              <w:rPr>
                <w:sz w:val="20"/>
                <w:szCs w:val="20"/>
                <w:lang w:eastAsia="sk-SK"/>
              </w:rPr>
            </w:pPr>
            <w:r w:rsidRPr="00DF02C4">
              <w:rPr>
                <w:sz w:val="20"/>
                <w:szCs w:val="20"/>
                <w:lang w:eastAsia="sk-SK"/>
              </w:rPr>
              <w:t>Zamestnanosť v hi</w:t>
            </w:r>
            <w:r w:rsidR="00F2424A">
              <w:rPr>
                <w:sz w:val="20"/>
                <w:szCs w:val="20"/>
                <w:lang w:eastAsia="sk-SK"/>
              </w:rPr>
              <w:t>gh</w:t>
            </w:r>
            <w:r w:rsidRPr="00DF02C4">
              <w:rPr>
                <w:sz w:val="20"/>
                <w:szCs w:val="20"/>
                <w:lang w:eastAsia="sk-SK"/>
              </w:rPr>
              <w:t>-tech sektoroch, % celku</w:t>
            </w:r>
          </w:p>
        </w:tc>
        <w:tc>
          <w:tcPr>
            <w:tcW w:w="279" w:type="pct"/>
            <w:tcBorders>
              <w:top w:val="single" w:sz="4" w:space="0" w:color="auto"/>
              <w:bottom w:val="single" w:sz="4" w:space="0" w:color="auto"/>
              <w:right w:val="nil"/>
            </w:tcBorders>
            <w:tcMar>
              <w:left w:w="28" w:type="dxa"/>
              <w:right w:w="28" w:type="dxa"/>
            </w:tcMar>
            <w:vAlign w:val="center"/>
          </w:tcPr>
          <w:p w14:paraId="53F41AA4" w14:textId="20D8DBD3" w:rsidR="00DF02C4" w:rsidRPr="00DF02C4" w:rsidRDefault="004E3CC2" w:rsidP="001A3253">
            <w:pPr>
              <w:keepNext/>
              <w:keepLines/>
              <w:spacing w:before="20" w:after="20"/>
              <w:jc w:val="center"/>
              <w:rPr>
                <w:sz w:val="20"/>
                <w:szCs w:val="20"/>
                <w:lang w:eastAsia="sk-SK"/>
              </w:rPr>
            </w:pPr>
            <w:r>
              <w:rPr>
                <w:sz w:val="20"/>
                <w:szCs w:val="20"/>
                <w:lang w:eastAsia="sk-SK"/>
              </w:rPr>
              <w:t>4,1</w:t>
            </w:r>
          </w:p>
        </w:tc>
        <w:tc>
          <w:tcPr>
            <w:tcW w:w="279" w:type="pct"/>
            <w:tcBorders>
              <w:top w:val="single" w:sz="4" w:space="0" w:color="auto"/>
              <w:left w:val="nil"/>
              <w:bottom w:val="single" w:sz="4" w:space="0" w:color="auto"/>
              <w:right w:val="nil"/>
            </w:tcBorders>
            <w:tcMar>
              <w:left w:w="28" w:type="dxa"/>
              <w:right w:w="28" w:type="dxa"/>
            </w:tcMar>
            <w:vAlign w:val="center"/>
          </w:tcPr>
          <w:p w14:paraId="56AEED47" w14:textId="546FFD14" w:rsidR="00DF02C4" w:rsidRPr="00DF02C4" w:rsidRDefault="004E3CC2" w:rsidP="001A3253">
            <w:pPr>
              <w:keepNext/>
              <w:keepLines/>
              <w:spacing w:before="20" w:after="20"/>
              <w:jc w:val="center"/>
              <w:rPr>
                <w:sz w:val="20"/>
                <w:szCs w:val="20"/>
                <w:lang w:eastAsia="sk-SK"/>
              </w:rPr>
            </w:pPr>
            <w:r>
              <w:rPr>
                <w:sz w:val="20"/>
                <w:szCs w:val="20"/>
                <w:lang w:eastAsia="sk-SK"/>
              </w:rPr>
              <w:t>4,0</w:t>
            </w:r>
          </w:p>
        </w:tc>
        <w:tc>
          <w:tcPr>
            <w:tcW w:w="279" w:type="pct"/>
            <w:tcBorders>
              <w:top w:val="single" w:sz="4" w:space="0" w:color="auto"/>
              <w:left w:val="nil"/>
              <w:bottom w:val="single" w:sz="4" w:space="0" w:color="auto"/>
              <w:right w:val="nil"/>
            </w:tcBorders>
            <w:tcMar>
              <w:left w:w="28" w:type="dxa"/>
              <w:right w:w="28" w:type="dxa"/>
            </w:tcMar>
            <w:vAlign w:val="center"/>
          </w:tcPr>
          <w:p w14:paraId="0FD1A59F" w14:textId="51B21139" w:rsidR="00DF02C4" w:rsidRPr="00DF02C4" w:rsidRDefault="004E3CC2" w:rsidP="001A3253">
            <w:pPr>
              <w:keepNext/>
              <w:keepLines/>
              <w:spacing w:before="20" w:after="20"/>
              <w:jc w:val="center"/>
              <w:rPr>
                <w:sz w:val="20"/>
                <w:szCs w:val="20"/>
                <w:lang w:eastAsia="sk-SK"/>
              </w:rPr>
            </w:pPr>
            <w:r>
              <w:rPr>
                <w:sz w:val="20"/>
                <w:szCs w:val="20"/>
                <w:lang w:eastAsia="sk-SK"/>
              </w:rPr>
              <w:t>3,6</w:t>
            </w:r>
          </w:p>
        </w:tc>
        <w:tc>
          <w:tcPr>
            <w:tcW w:w="279" w:type="pct"/>
            <w:tcBorders>
              <w:top w:val="single" w:sz="4" w:space="0" w:color="auto"/>
              <w:left w:val="nil"/>
              <w:bottom w:val="single" w:sz="4" w:space="0" w:color="auto"/>
              <w:right w:val="nil"/>
            </w:tcBorders>
            <w:tcMar>
              <w:left w:w="28" w:type="dxa"/>
              <w:right w:w="28" w:type="dxa"/>
            </w:tcMar>
            <w:vAlign w:val="center"/>
          </w:tcPr>
          <w:p w14:paraId="78CB7CA8" w14:textId="0581A3AE" w:rsidR="00DF02C4" w:rsidRPr="00DF02C4" w:rsidRDefault="004E3CC2" w:rsidP="001A3253">
            <w:pPr>
              <w:keepNext/>
              <w:keepLines/>
              <w:spacing w:before="20" w:after="20"/>
              <w:jc w:val="center"/>
              <w:rPr>
                <w:sz w:val="20"/>
                <w:szCs w:val="20"/>
                <w:lang w:eastAsia="sk-SK"/>
              </w:rPr>
            </w:pPr>
            <w:r>
              <w:rPr>
                <w:sz w:val="20"/>
                <w:szCs w:val="20"/>
                <w:lang w:eastAsia="sk-SK"/>
              </w:rPr>
              <w:t>3,7</w:t>
            </w:r>
          </w:p>
        </w:tc>
        <w:tc>
          <w:tcPr>
            <w:tcW w:w="279" w:type="pct"/>
            <w:tcBorders>
              <w:top w:val="single" w:sz="4" w:space="0" w:color="auto"/>
              <w:left w:val="nil"/>
              <w:bottom w:val="single" w:sz="4" w:space="0" w:color="auto"/>
            </w:tcBorders>
            <w:tcMar>
              <w:left w:w="28" w:type="dxa"/>
              <w:right w:w="28" w:type="dxa"/>
            </w:tcMar>
            <w:vAlign w:val="center"/>
          </w:tcPr>
          <w:p w14:paraId="317A2634" w14:textId="7DB6274B" w:rsidR="00DF02C4" w:rsidRPr="00DF02C4" w:rsidRDefault="005477B1" w:rsidP="001A3253">
            <w:pPr>
              <w:keepNext/>
              <w:keepLines/>
              <w:spacing w:before="20" w:after="20"/>
              <w:jc w:val="center"/>
              <w:rPr>
                <w:sz w:val="20"/>
                <w:szCs w:val="20"/>
                <w:lang w:eastAsia="sk-SK"/>
              </w:rPr>
            </w:pPr>
            <w:r>
              <w:rPr>
                <w:sz w:val="20"/>
                <w:szCs w:val="20"/>
                <w:lang w:eastAsia="sk-SK"/>
              </w:rPr>
              <w:t>4,1</w:t>
            </w:r>
          </w:p>
        </w:tc>
        <w:tc>
          <w:tcPr>
            <w:tcW w:w="279" w:type="pct"/>
            <w:tcBorders>
              <w:top w:val="single" w:sz="4" w:space="0" w:color="auto"/>
              <w:bottom w:val="single" w:sz="4" w:space="0" w:color="auto"/>
              <w:right w:val="nil"/>
            </w:tcBorders>
            <w:shd w:val="clear" w:color="auto" w:fill="auto"/>
            <w:tcMar>
              <w:left w:w="28" w:type="dxa"/>
              <w:right w:w="28" w:type="dxa"/>
            </w:tcMar>
            <w:vAlign w:val="center"/>
          </w:tcPr>
          <w:p w14:paraId="36186565" w14:textId="58212745" w:rsidR="00DF02C4" w:rsidRPr="00DF02C4" w:rsidRDefault="005477B1" w:rsidP="001A3253">
            <w:pPr>
              <w:keepNext/>
              <w:keepLines/>
              <w:spacing w:before="20" w:after="20"/>
              <w:jc w:val="center"/>
              <w:rPr>
                <w:sz w:val="20"/>
                <w:szCs w:val="20"/>
                <w:lang w:eastAsia="sk-SK"/>
              </w:rPr>
            </w:pPr>
            <w:r>
              <w:rPr>
                <w:sz w:val="20"/>
                <w:szCs w:val="20"/>
                <w:lang w:eastAsia="sk-SK"/>
              </w:rPr>
              <w:t>4,1</w:t>
            </w:r>
          </w:p>
        </w:tc>
        <w:tc>
          <w:tcPr>
            <w:tcW w:w="294" w:type="pct"/>
            <w:tcBorders>
              <w:top w:val="single" w:sz="4" w:space="0" w:color="auto"/>
              <w:left w:val="nil"/>
              <w:bottom w:val="single" w:sz="4" w:space="0" w:color="auto"/>
              <w:right w:val="nil"/>
            </w:tcBorders>
            <w:shd w:val="clear" w:color="auto" w:fill="auto"/>
            <w:tcMar>
              <w:left w:w="28" w:type="dxa"/>
              <w:right w:w="28" w:type="dxa"/>
            </w:tcMar>
            <w:vAlign w:val="center"/>
          </w:tcPr>
          <w:p w14:paraId="60F698A0" w14:textId="32023151" w:rsidR="00DF02C4" w:rsidRPr="00DF02C4" w:rsidRDefault="005477B1" w:rsidP="001A3253">
            <w:pPr>
              <w:keepNext/>
              <w:keepLines/>
              <w:spacing w:before="20" w:after="20"/>
              <w:jc w:val="center"/>
              <w:rPr>
                <w:sz w:val="20"/>
                <w:szCs w:val="20"/>
                <w:lang w:eastAsia="sk-SK"/>
              </w:rPr>
            </w:pPr>
            <w:r>
              <w:rPr>
                <w:sz w:val="20"/>
                <w:szCs w:val="20"/>
                <w:lang w:eastAsia="sk-SK"/>
              </w:rPr>
              <w:t>4,0</w:t>
            </w:r>
          </w:p>
        </w:tc>
        <w:tc>
          <w:tcPr>
            <w:tcW w:w="279" w:type="pct"/>
            <w:tcBorders>
              <w:top w:val="single" w:sz="4" w:space="0" w:color="auto"/>
              <w:left w:val="nil"/>
              <w:bottom w:val="single" w:sz="4" w:space="0" w:color="auto"/>
              <w:right w:val="nil"/>
            </w:tcBorders>
            <w:tcMar>
              <w:left w:w="28" w:type="dxa"/>
              <w:right w:w="28" w:type="dxa"/>
            </w:tcMar>
            <w:vAlign w:val="center"/>
          </w:tcPr>
          <w:p w14:paraId="6F4A1028" w14:textId="1234F7DF" w:rsidR="00DF02C4" w:rsidRPr="00DF02C4" w:rsidRDefault="005477B1" w:rsidP="001A3253">
            <w:pPr>
              <w:keepNext/>
              <w:keepLines/>
              <w:spacing w:before="20" w:after="20"/>
              <w:jc w:val="center"/>
              <w:rPr>
                <w:sz w:val="20"/>
                <w:szCs w:val="20"/>
                <w:lang w:eastAsia="sk-SK"/>
              </w:rPr>
            </w:pPr>
            <w:r>
              <w:rPr>
                <w:sz w:val="20"/>
                <w:szCs w:val="20"/>
                <w:lang w:eastAsia="sk-SK"/>
              </w:rPr>
              <w:t>4,7</w:t>
            </w:r>
          </w:p>
        </w:tc>
        <w:tc>
          <w:tcPr>
            <w:tcW w:w="279" w:type="pct"/>
            <w:tcBorders>
              <w:top w:val="single" w:sz="4" w:space="0" w:color="auto"/>
              <w:left w:val="nil"/>
              <w:bottom w:val="single" w:sz="4" w:space="0" w:color="auto"/>
              <w:right w:val="nil"/>
            </w:tcBorders>
            <w:tcMar>
              <w:left w:w="28" w:type="dxa"/>
              <w:right w:w="28" w:type="dxa"/>
            </w:tcMar>
            <w:vAlign w:val="center"/>
          </w:tcPr>
          <w:p w14:paraId="075ACD2A" w14:textId="4C6B1205" w:rsidR="00DF02C4" w:rsidRPr="00DF02C4" w:rsidRDefault="005477B1" w:rsidP="001A3253">
            <w:pPr>
              <w:keepNext/>
              <w:keepLines/>
              <w:spacing w:before="20" w:after="20"/>
              <w:jc w:val="center"/>
              <w:rPr>
                <w:sz w:val="20"/>
                <w:szCs w:val="20"/>
                <w:lang w:eastAsia="sk-SK"/>
              </w:rPr>
            </w:pPr>
            <w:r>
              <w:rPr>
                <w:sz w:val="20"/>
                <w:szCs w:val="20"/>
                <w:lang w:eastAsia="sk-SK"/>
              </w:rPr>
              <w:t>5,1</w:t>
            </w:r>
          </w:p>
        </w:tc>
        <w:tc>
          <w:tcPr>
            <w:tcW w:w="279" w:type="pct"/>
            <w:tcBorders>
              <w:top w:val="single" w:sz="4" w:space="0" w:color="auto"/>
              <w:left w:val="nil"/>
              <w:bottom w:val="single" w:sz="4" w:space="0" w:color="auto"/>
            </w:tcBorders>
            <w:tcMar>
              <w:left w:w="28" w:type="dxa"/>
              <w:right w:w="28" w:type="dxa"/>
            </w:tcMar>
            <w:vAlign w:val="center"/>
          </w:tcPr>
          <w:p w14:paraId="417D76D6" w14:textId="1B474C0A" w:rsidR="00DF02C4" w:rsidRPr="00DF02C4" w:rsidRDefault="005477B1" w:rsidP="001A3253">
            <w:pPr>
              <w:keepNext/>
              <w:keepLines/>
              <w:spacing w:before="20" w:after="20"/>
              <w:jc w:val="center"/>
              <w:rPr>
                <w:sz w:val="20"/>
                <w:szCs w:val="20"/>
                <w:lang w:eastAsia="sk-SK"/>
              </w:rPr>
            </w:pPr>
            <w:r>
              <w:rPr>
                <w:sz w:val="20"/>
                <w:szCs w:val="20"/>
                <w:lang w:eastAsia="sk-SK"/>
              </w:rPr>
              <w:t>2,9</w:t>
            </w:r>
          </w:p>
        </w:tc>
      </w:tr>
      <w:tr w:rsidR="003B3619" w:rsidRPr="00DF02C4" w14:paraId="09ADD3FC" w14:textId="77777777" w:rsidTr="0074238E">
        <w:trPr>
          <w:trHeight w:val="300"/>
        </w:trPr>
        <w:tc>
          <w:tcPr>
            <w:tcW w:w="2197" w:type="pct"/>
            <w:tcBorders>
              <w:top w:val="single" w:sz="4" w:space="0" w:color="auto"/>
              <w:bottom w:val="single" w:sz="4" w:space="0" w:color="auto"/>
            </w:tcBorders>
            <w:shd w:val="clear" w:color="auto" w:fill="auto"/>
            <w:tcMar>
              <w:left w:w="28" w:type="dxa"/>
              <w:right w:w="28" w:type="dxa"/>
            </w:tcMar>
            <w:vAlign w:val="center"/>
          </w:tcPr>
          <w:p w14:paraId="38B464CC" w14:textId="77777777" w:rsidR="00DF02C4" w:rsidRPr="00DF02C4" w:rsidRDefault="00DF02C4" w:rsidP="001A3253">
            <w:pPr>
              <w:keepNext/>
              <w:keepLines/>
              <w:spacing w:before="20" w:after="20"/>
              <w:rPr>
                <w:sz w:val="20"/>
                <w:szCs w:val="20"/>
                <w:lang w:eastAsia="sk-SK"/>
              </w:rPr>
            </w:pPr>
            <w:r w:rsidRPr="00DF02C4">
              <w:rPr>
                <w:sz w:val="20"/>
                <w:szCs w:val="20"/>
                <w:lang w:eastAsia="sk-SK"/>
              </w:rPr>
              <w:t>Podiel MSP s inováciami z vlastných zdrojov, %</w:t>
            </w:r>
          </w:p>
        </w:tc>
        <w:tc>
          <w:tcPr>
            <w:tcW w:w="279" w:type="pct"/>
            <w:tcBorders>
              <w:top w:val="single" w:sz="4" w:space="0" w:color="auto"/>
              <w:bottom w:val="single" w:sz="4" w:space="0" w:color="auto"/>
              <w:right w:val="nil"/>
            </w:tcBorders>
            <w:tcMar>
              <w:left w:w="28" w:type="dxa"/>
              <w:right w:w="28" w:type="dxa"/>
            </w:tcMar>
            <w:vAlign w:val="center"/>
          </w:tcPr>
          <w:p w14:paraId="7B8BAFD6" w14:textId="053D576D" w:rsidR="00DF02C4" w:rsidRPr="00DF02C4" w:rsidRDefault="005477B1" w:rsidP="001A3253">
            <w:pPr>
              <w:keepNext/>
              <w:keepLines/>
              <w:spacing w:before="20" w:after="20"/>
              <w:jc w:val="center"/>
              <w:rPr>
                <w:sz w:val="20"/>
                <w:szCs w:val="20"/>
                <w:lang w:eastAsia="sk-SK"/>
              </w:rPr>
            </w:pPr>
            <w:r>
              <w:rPr>
                <w:sz w:val="20"/>
                <w:szCs w:val="20"/>
              </w:rPr>
              <w:t>15,0</w:t>
            </w:r>
          </w:p>
        </w:tc>
        <w:tc>
          <w:tcPr>
            <w:tcW w:w="279" w:type="pct"/>
            <w:tcBorders>
              <w:top w:val="single" w:sz="4" w:space="0" w:color="auto"/>
              <w:left w:val="nil"/>
              <w:bottom w:val="single" w:sz="4" w:space="0" w:color="auto"/>
              <w:right w:val="nil"/>
            </w:tcBorders>
            <w:tcMar>
              <w:left w:w="28" w:type="dxa"/>
              <w:right w:w="28" w:type="dxa"/>
            </w:tcMar>
            <w:vAlign w:val="center"/>
          </w:tcPr>
          <w:p w14:paraId="38E59AC1" w14:textId="0DA39D9F" w:rsidR="00DF02C4" w:rsidRPr="00DF02C4" w:rsidRDefault="005477B1" w:rsidP="001A3253">
            <w:pPr>
              <w:keepNext/>
              <w:keepLines/>
              <w:spacing w:before="20" w:after="20"/>
              <w:jc w:val="center"/>
              <w:rPr>
                <w:sz w:val="20"/>
                <w:szCs w:val="20"/>
                <w:lang w:eastAsia="sk-SK"/>
              </w:rPr>
            </w:pPr>
            <w:r>
              <w:rPr>
                <w:sz w:val="20"/>
                <w:szCs w:val="20"/>
              </w:rPr>
              <w:t>15,0</w:t>
            </w:r>
          </w:p>
        </w:tc>
        <w:tc>
          <w:tcPr>
            <w:tcW w:w="279" w:type="pct"/>
            <w:tcBorders>
              <w:top w:val="single" w:sz="4" w:space="0" w:color="auto"/>
              <w:left w:val="nil"/>
              <w:bottom w:val="single" w:sz="4" w:space="0" w:color="auto"/>
              <w:right w:val="nil"/>
            </w:tcBorders>
            <w:tcMar>
              <w:left w:w="28" w:type="dxa"/>
              <w:right w:w="28" w:type="dxa"/>
            </w:tcMar>
            <w:vAlign w:val="center"/>
          </w:tcPr>
          <w:p w14:paraId="5B6EBB3F" w14:textId="483676A8" w:rsidR="00DF02C4" w:rsidRPr="00DF02C4" w:rsidRDefault="005477B1" w:rsidP="001A3253">
            <w:pPr>
              <w:keepNext/>
              <w:keepLines/>
              <w:spacing w:before="20" w:after="20"/>
              <w:jc w:val="center"/>
              <w:rPr>
                <w:sz w:val="20"/>
                <w:szCs w:val="20"/>
                <w:lang w:eastAsia="sk-SK"/>
              </w:rPr>
            </w:pPr>
            <w:r>
              <w:rPr>
                <w:sz w:val="20"/>
                <w:szCs w:val="20"/>
              </w:rPr>
              <w:t>21,6</w:t>
            </w:r>
          </w:p>
        </w:tc>
        <w:tc>
          <w:tcPr>
            <w:tcW w:w="279" w:type="pct"/>
            <w:tcBorders>
              <w:top w:val="single" w:sz="4" w:space="0" w:color="auto"/>
              <w:left w:val="nil"/>
              <w:bottom w:val="single" w:sz="4" w:space="0" w:color="auto"/>
              <w:right w:val="nil"/>
            </w:tcBorders>
            <w:tcMar>
              <w:left w:w="28" w:type="dxa"/>
              <w:right w:w="28" w:type="dxa"/>
            </w:tcMar>
            <w:vAlign w:val="center"/>
          </w:tcPr>
          <w:p w14:paraId="4212579F" w14:textId="477F43EF" w:rsidR="00DF02C4" w:rsidRPr="00DF02C4" w:rsidRDefault="005477B1" w:rsidP="001A3253">
            <w:pPr>
              <w:keepNext/>
              <w:keepLines/>
              <w:spacing w:before="20" w:after="20"/>
              <w:jc w:val="center"/>
              <w:rPr>
                <w:sz w:val="20"/>
                <w:szCs w:val="20"/>
                <w:lang w:eastAsia="sk-SK"/>
              </w:rPr>
            </w:pPr>
            <w:r>
              <w:rPr>
                <w:sz w:val="20"/>
                <w:szCs w:val="20"/>
              </w:rPr>
              <w:t>21,6</w:t>
            </w:r>
          </w:p>
        </w:tc>
        <w:tc>
          <w:tcPr>
            <w:tcW w:w="279" w:type="pct"/>
            <w:tcBorders>
              <w:top w:val="single" w:sz="4" w:space="0" w:color="auto"/>
              <w:left w:val="nil"/>
              <w:bottom w:val="single" w:sz="4" w:space="0" w:color="auto"/>
            </w:tcBorders>
            <w:tcMar>
              <w:left w:w="28" w:type="dxa"/>
              <w:right w:w="28" w:type="dxa"/>
            </w:tcMar>
            <w:vAlign w:val="center"/>
          </w:tcPr>
          <w:p w14:paraId="54B852A4" w14:textId="247837E0" w:rsidR="00DF02C4" w:rsidRPr="00DF02C4" w:rsidRDefault="005477B1" w:rsidP="001A3253">
            <w:pPr>
              <w:keepNext/>
              <w:keepLines/>
              <w:spacing w:before="20" w:after="20"/>
              <w:jc w:val="center"/>
              <w:rPr>
                <w:sz w:val="20"/>
                <w:szCs w:val="20"/>
                <w:lang w:eastAsia="sk-SK"/>
              </w:rPr>
            </w:pPr>
            <w:r>
              <w:rPr>
                <w:sz w:val="20"/>
                <w:szCs w:val="20"/>
                <w:lang w:eastAsia="sk-SK"/>
              </w:rPr>
              <w:t>15,0</w:t>
            </w:r>
          </w:p>
        </w:tc>
        <w:tc>
          <w:tcPr>
            <w:tcW w:w="279" w:type="pct"/>
            <w:tcBorders>
              <w:top w:val="single" w:sz="4" w:space="0" w:color="auto"/>
              <w:bottom w:val="single" w:sz="4" w:space="0" w:color="auto"/>
              <w:right w:val="nil"/>
            </w:tcBorders>
            <w:shd w:val="clear" w:color="auto" w:fill="auto"/>
            <w:tcMar>
              <w:left w:w="28" w:type="dxa"/>
              <w:right w:w="28" w:type="dxa"/>
            </w:tcMar>
            <w:vAlign w:val="center"/>
          </w:tcPr>
          <w:p w14:paraId="3E473C4A" w14:textId="63C75B6A" w:rsidR="00DF02C4" w:rsidRPr="00DF02C4" w:rsidRDefault="005477B1" w:rsidP="001A3253">
            <w:pPr>
              <w:keepNext/>
              <w:keepLines/>
              <w:spacing w:before="20" w:after="20"/>
              <w:jc w:val="center"/>
              <w:rPr>
                <w:sz w:val="20"/>
                <w:szCs w:val="20"/>
                <w:lang w:eastAsia="sk-SK"/>
              </w:rPr>
            </w:pPr>
            <w:r>
              <w:rPr>
                <w:sz w:val="20"/>
                <w:szCs w:val="20"/>
                <w:lang w:eastAsia="sk-SK"/>
              </w:rPr>
              <w:t>15,0</w:t>
            </w:r>
          </w:p>
        </w:tc>
        <w:tc>
          <w:tcPr>
            <w:tcW w:w="294" w:type="pct"/>
            <w:tcBorders>
              <w:top w:val="single" w:sz="4" w:space="0" w:color="auto"/>
              <w:left w:val="nil"/>
              <w:bottom w:val="single" w:sz="4" w:space="0" w:color="auto"/>
              <w:right w:val="nil"/>
            </w:tcBorders>
            <w:shd w:val="clear" w:color="auto" w:fill="auto"/>
            <w:tcMar>
              <w:left w:w="28" w:type="dxa"/>
              <w:right w:w="28" w:type="dxa"/>
            </w:tcMar>
            <w:vAlign w:val="center"/>
          </w:tcPr>
          <w:p w14:paraId="4DE0AD23" w14:textId="2CC94AEB" w:rsidR="00DF02C4" w:rsidRPr="00DF02C4" w:rsidRDefault="005477B1" w:rsidP="001A3253">
            <w:pPr>
              <w:keepNext/>
              <w:keepLines/>
              <w:spacing w:before="20" w:after="20"/>
              <w:jc w:val="center"/>
              <w:rPr>
                <w:sz w:val="20"/>
                <w:szCs w:val="20"/>
                <w:lang w:eastAsia="sk-SK"/>
              </w:rPr>
            </w:pPr>
            <w:r>
              <w:rPr>
                <w:sz w:val="20"/>
                <w:szCs w:val="20"/>
                <w:lang w:eastAsia="sk-SK"/>
              </w:rPr>
              <w:t>28,7</w:t>
            </w:r>
          </w:p>
        </w:tc>
        <w:tc>
          <w:tcPr>
            <w:tcW w:w="279" w:type="pct"/>
            <w:tcBorders>
              <w:top w:val="single" w:sz="4" w:space="0" w:color="auto"/>
              <w:left w:val="nil"/>
              <w:bottom w:val="single" w:sz="4" w:space="0" w:color="auto"/>
              <w:right w:val="nil"/>
            </w:tcBorders>
            <w:tcMar>
              <w:left w:w="28" w:type="dxa"/>
              <w:right w:w="28" w:type="dxa"/>
            </w:tcMar>
            <w:vAlign w:val="center"/>
          </w:tcPr>
          <w:p w14:paraId="3F5EF1C7" w14:textId="17E729D8" w:rsidR="00DF02C4" w:rsidRPr="00DF02C4" w:rsidRDefault="005477B1" w:rsidP="001A3253">
            <w:pPr>
              <w:keepNext/>
              <w:keepLines/>
              <w:spacing w:before="20" w:after="20"/>
              <w:jc w:val="center"/>
              <w:rPr>
                <w:sz w:val="20"/>
                <w:szCs w:val="20"/>
                <w:lang w:eastAsia="sk-SK"/>
              </w:rPr>
            </w:pPr>
            <w:r>
              <w:rPr>
                <w:sz w:val="20"/>
                <w:szCs w:val="20"/>
                <w:lang w:eastAsia="sk-SK"/>
              </w:rPr>
              <w:t>27,3</w:t>
            </w:r>
          </w:p>
        </w:tc>
        <w:tc>
          <w:tcPr>
            <w:tcW w:w="279" w:type="pct"/>
            <w:tcBorders>
              <w:top w:val="single" w:sz="4" w:space="0" w:color="auto"/>
              <w:left w:val="nil"/>
              <w:bottom w:val="single" w:sz="4" w:space="0" w:color="auto"/>
              <w:right w:val="nil"/>
            </w:tcBorders>
            <w:tcMar>
              <w:left w:w="28" w:type="dxa"/>
              <w:right w:w="28" w:type="dxa"/>
            </w:tcMar>
            <w:vAlign w:val="center"/>
          </w:tcPr>
          <w:p w14:paraId="386E45DF" w14:textId="3B837296" w:rsidR="00DF02C4" w:rsidRPr="00DF02C4" w:rsidRDefault="005477B1" w:rsidP="001A3253">
            <w:pPr>
              <w:keepNext/>
              <w:keepLines/>
              <w:spacing w:before="20" w:after="20"/>
              <w:jc w:val="center"/>
              <w:rPr>
                <w:sz w:val="20"/>
                <w:szCs w:val="20"/>
                <w:lang w:eastAsia="sk-SK"/>
              </w:rPr>
            </w:pPr>
            <w:r>
              <w:rPr>
                <w:sz w:val="20"/>
                <w:szCs w:val="20"/>
                <w:lang w:eastAsia="sk-SK"/>
              </w:rPr>
              <w:t>10,6</w:t>
            </w:r>
          </w:p>
        </w:tc>
        <w:tc>
          <w:tcPr>
            <w:tcW w:w="279" w:type="pct"/>
            <w:tcBorders>
              <w:top w:val="single" w:sz="4" w:space="0" w:color="auto"/>
              <w:left w:val="nil"/>
              <w:bottom w:val="single" w:sz="4" w:space="0" w:color="auto"/>
            </w:tcBorders>
            <w:tcMar>
              <w:left w:w="28" w:type="dxa"/>
              <w:right w:w="28" w:type="dxa"/>
            </w:tcMar>
            <w:vAlign w:val="center"/>
          </w:tcPr>
          <w:p w14:paraId="797B4909" w14:textId="5E63D8AC" w:rsidR="00DF02C4" w:rsidRPr="00DF02C4" w:rsidRDefault="005477B1" w:rsidP="001A3253">
            <w:pPr>
              <w:keepNext/>
              <w:keepLines/>
              <w:spacing w:before="20" w:after="20"/>
              <w:jc w:val="center"/>
              <w:rPr>
                <w:sz w:val="20"/>
                <w:szCs w:val="20"/>
                <w:lang w:eastAsia="sk-SK"/>
              </w:rPr>
            </w:pPr>
            <w:r>
              <w:rPr>
                <w:sz w:val="20"/>
                <w:szCs w:val="20"/>
                <w:lang w:eastAsia="sk-SK"/>
              </w:rPr>
              <w:t>10,1</w:t>
            </w:r>
          </w:p>
        </w:tc>
      </w:tr>
      <w:tr w:rsidR="003B3619" w:rsidRPr="00DF02C4" w14:paraId="7D8F478B" w14:textId="77777777" w:rsidTr="0074238E">
        <w:trPr>
          <w:trHeight w:val="300"/>
        </w:trPr>
        <w:tc>
          <w:tcPr>
            <w:tcW w:w="2197" w:type="pct"/>
            <w:tcBorders>
              <w:top w:val="single" w:sz="4" w:space="0" w:color="auto"/>
              <w:bottom w:val="single" w:sz="4" w:space="0" w:color="auto"/>
            </w:tcBorders>
            <w:shd w:val="clear" w:color="auto" w:fill="auto"/>
            <w:tcMar>
              <w:left w:w="28" w:type="dxa"/>
              <w:right w:w="28" w:type="dxa"/>
            </w:tcMar>
            <w:vAlign w:val="center"/>
          </w:tcPr>
          <w:p w14:paraId="6CAA2BCF" w14:textId="77777777" w:rsidR="00DF02C4" w:rsidRPr="00DF02C4" w:rsidRDefault="00DF02C4" w:rsidP="001A3253">
            <w:pPr>
              <w:keepNext/>
              <w:keepLines/>
              <w:spacing w:before="20" w:after="20"/>
              <w:rPr>
                <w:sz w:val="20"/>
                <w:szCs w:val="20"/>
                <w:lang w:eastAsia="sk-SK"/>
              </w:rPr>
            </w:pPr>
            <w:r w:rsidRPr="00DF02C4">
              <w:rPr>
                <w:sz w:val="20"/>
                <w:szCs w:val="20"/>
                <w:lang w:eastAsia="sk-SK"/>
              </w:rPr>
              <w:t>Počet žiadostí o patenty na 1 mld. HDP v PKS</w:t>
            </w:r>
          </w:p>
        </w:tc>
        <w:tc>
          <w:tcPr>
            <w:tcW w:w="279" w:type="pct"/>
            <w:tcBorders>
              <w:top w:val="single" w:sz="4" w:space="0" w:color="auto"/>
              <w:bottom w:val="single" w:sz="4" w:space="0" w:color="auto"/>
              <w:right w:val="nil"/>
            </w:tcBorders>
            <w:tcMar>
              <w:left w:w="28" w:type="dxa"/>
              <w:right w:w="28" w:type="dxa"/>
            </w:tcMar>
            <w:vAlign w:val="center"/>
          </w:tcPr>
          <w:p w14:paraId="575F860E" w14:textId="2EF75DF9" w:rsidR="00DF02C4" w:rsidRPr="00DF02C4" w:rsidRDefault="00DF02C4" w:rsidP="001A3253">
            <w:pPr>
              <w:keepNext/>
              <w:keepLines/>
              <w:spacing w:before="20" w:after="20"/>
              <w:jc w:val="center"/>
              <w:rPr>
                <w:sz w:val="20"/>
                <w:szCs w:val="20"/>
                <w:lang w:eastAsia="sk-SK"/>
              </w:rPr>
            </w:pPr>
            <w:r w:rsidRPr="00DF02C4">
              <w:rPr>
                <w:sz w:val="20"/>
                <w:szCs w:val="20"/>
              </w:rPr>
              <w:t>0,39</w:t>
            </w:r>
          </w:p>
        </w:tc>
        <w:tc>
          <w:tcPr>
            <w:tcW w:w="279" w:type="pct"/>
            <w:tcBorders>
              <w:top w:val="single" w:sz="4" w:space="0" w:color="auto"/>
              <w:left w:val="nil"/>
              <w:bottom w:val="single" w:sz="4" w:space="0" w:color="auto"/>
              <w:right w:val="nil"/>
            </w:tcBorders>
            <w:tcMar>
              <w:left w:w="28" w:type="dxa"/>
              <w:right w:w="28" w:type="dxa"/>
            </w:tcMar>
            <w:vAlign w:val="center"/>
          </w:tcPr>
          <w:p w14:paraId="06A6A99F" w14:textId="4E04A399" w:rsidR="00DF02C4" w:rsidRPr="00DF02C4" w:rsidRDefault="00DF02C4" w:rsidP="001A3253">
            <w:pPr>
              <w:keepNext/>
              <w:keepLines/>
              <w:spacing w:before="20" w:after="20"/>
              <w:jc w:val="center"/>
              <w:rPr>
                <w:sz w:val="20"/>
                <w:szCs w:val="20"/>
                <w:lang w:eastAsia="sk-SK"/>
              </w:rPr>
            </w:pPr>
            <w:r w:rsidRPr="00DF02C4">
              <w:rPr>
                <w:sz w:val="20"/>
                <w:szCs w:val="20"/>
              </w:rPr>
              <w:t>0,49</w:t>
            </w:r>
          </w:p>
        </w:tc>
        <w:tc>
          <w:tcPr>
            <w:tcW w:w="279" w:type="pct"/>
            <w:tcBorders>
              <w:top w:val="single" w:sz="4" w:space="0" w:color="auto"/>
              <w:left w:val="nil"/>
              <w:bottom w:val="single" w:sz="4" w:space="0" w:color="auto"/>
              <w:right w:val="nil"/>
            </w:tcBorders>
            <w:tcMar>
              <w:left w:w="28" w:type="dxa"/>
              <w:right w:w="28" w:type="dxa"/>
            </w:tcMar>
            <w:vAlign w:val="center"/>
          </w:tcPr>
          <w:p w14:paraId="42C5E6C5" w14:textId="0F961E72" w:rsidR="00DF02C4" w:rsidRPr="00DF02C4" w:rsidRDefault="00DF02C4" w:rsidP="001A3253">
            <w:pPr>
              <w:keepNext/>
              <w:keepLines/>
              <w:spacing w:before="20" w:after="20"/>
              <w:jc w:val="center"/>
              <w:rPr>
                <w:sz w:val="20"/>
                <w:szCs w:val="20"/>
                <w:lang w:eastAsia="sk-SK"/>
              </w:rPr>
            </w:pPr>
            <w:r w:rsidRPr="00DF02C4">
              <w:rPr>
                <w:sz w:val="20"/>
                <w:szCs w:val="20"/>
              </w:rPr>
              <w:t>0,54</w:t>
            </w:r>
          </w:p>
        </w:tc>
        <w:tc>
          <w:tcPr>
            <w:tcW w:w="279" w:type="pct"/>
            <w:tcBorders>
              <w:top w:val="single" w:sz="4" w:space="0" w:color="auto"/>
              <w:left w:val="nil"/>
              <w:bottom w:val="single" w:sz="4" w:space="0" w:color="auto"/>
              <w:right w:val="nil"/>
            </w:tcBorders>
            <w:tcMar>
              <w:left w:w="28" w:type="dxa"/>
              <w:right w:w="28" w:type="dxa"/>
            </w:tcMar>
            <w:vAlign w:val="center"/>
          </w:tcPr>
          <w:p w14:paraId="3D32DB46" w14:textId="56CD8ECE" w:rsidR="00DF02C4" w:rsidRPr="00DF02C4" w:rsidRDefault="00DF02C4" w:rsidP="001A3253">
            <w:pPr>
              <w:keepNext/>
              <w:keepLines/>
              <w:spacing w:before="20" w:after="20"/>
              <w:jc w:val="center"/>
              <w:rPr>
                <w:sz w:val="20"/>
                <w:szCs w:val="20"/>
                <w:lang w:eastAsia="sk-SK"/>
              </w:rPr>
            </w:pPr>
            <w:r w:rsidRPr="00DF02C4">
              <w:rPr>
                <w:sz w:val="20"/>
                <w:szCs w:val="20"/>
              </w:rPr>
              <w:t>0,42</w:t>
            </w:r>
          </w:p>
        </w:tc>
        <w:tc>
          <w:tcPr>
            <w:tcW w:w="279" w:type="pct"/>
            <w:tcBorders>
              <w:top w:val="single" w:sz="4" w:space="0" w:color="auto"/>
              <w:left w:val="nil"/>
              <w:bottom w:val="single" w:sz="4" w:space="0" w:color="auto"/>
            </w:tcBorders>
            <w:tcMar>
              <w:left w:w="28" w:type="dxa"/>
              <w:right w:w="28" w:type="dxa"/>
            </w:tcMar>
            <w:vAlign w:val="center"/>
          </w:tcPr>
          <w:p w14:paraId="6312DFC0" w14:textId="2F4A0A8B" w:rsidR="00DF02C4" w:rsidRPr="00DF02C4" w:rsidRDefault="00380B7C" w:rsidP="001A3253">
            <w:pPr>
              <w:keepNext/>
              <w:keepLines/>
              <w:spacing w:before="20" w:after="20"/>
              <w:jc w:val="center"/>
              <w:rPr>
                <w:sz w:val="20"/>
                <w:szCs w:val="20"/>
                <w:lang w:eastAsia="sk-SK"/>
              </w:rPr>
            </w:pPr>
            <w:r>
              <w:rPr>
                <w:sz w:val="20"/>
                <w:szCs w:val="20"/>
              </w:rPr>
              <w:t>0,4</w:t>
            </w:r>
            <w:r w:rsidR="00DF02C4" w:rsidRPr="00DF02C4">
              <w:rPr>
                <w:sz w:val="20"/>
                <w:szCs w:val="20"/>
              </w:rPr>
              <w:t>5</w:t>
            </w:r>
          </w:p>
        </w:tc>
        <w:tc>
          <w:tcPr>
            <w:tcW w:w="279" w:type="pct"/>
            <w:tcBorders>
              <w:top w:val="single" w:sz="4" w:space="0" w:color="auto"/>
              <w:bottom w:val="single" w:sz="4" w:space="0" w:color="auto"/>
              <w:right w:val="nil"/>
            </w:tcBorders>
            <w:shd w:val="clear" w:color="auto" w:fill="auto"/>
            <w:tcMar>
              <w:left w:w="28" w:type="dxa"/>
              <w:right w:w="28" w:type="dxa"/>
            </w:tcMar>
            <w:vAlign w:val="center"/>
          </w:tcPr>
          <w:p w14:paraId="661EA1FD" w14:textId="13C70E42" w:rsidR="00DF02C4" w:rsidRPr="00DF02C4" w:rsidRDefault="00380B7C" w:rsidP="001A3253">
            <w:pPr>
              <w:keepNext/>
              <w:keepLines/>
              <w:spacing w:before="20" w:after="20"/>
              <w:jc w:val="center"/>
              <w:rPr>
                <w:sz w:val="20"/>
                <w:szCs w:val="20"/>
                <w:lang w:eastAsia="sk-SK"/>
              </w:rPr>
            </w:pPr>
            <w:r>
              <w:rPr>
                <w:sz w:val="20"/>
                <w:szCs w:val="20"/>
                <w:lang w:eastAsia="sk-SK"/>
              </w:rPr>
              <w:t>0,45</w:t>
            </w:r>
          </w:p>
        </w:tc>
        <w:tc>
          <w:tcPr>
            <w:tcW w:w="294" w:type="pct"/>
            <w:tcBorders>
              <w:top w:val="single" w:sz="4" w:space="0" w:color="auto"/>
              <w:left w:val="nil"/>
              <w:bottom w:val="single" w:sz="4" w:space="0" w:color="auto"/>
              <w:right w:val="nil"/>
            </w:tcBorders>
            <w:shd w:val="clear" w:color="auto" w:fill="auto"/>
            <w:tcMar>
              <w:left w:w="28" w:type="dxa"/>
              <w:right w:w="28" w:type="dxa"/>
            </w:tcMar>
            <w:vAlign w:val="center"/>
          </w:tcPr>
          <w:p w14:paraId="40394D90" w14:textId="3D21F53A" w:rsidR="00DF02C4" w:rsidRPr="00DF02C4" w:rsidRDefault="00380B7C" w:rsidP="001A3253">
            <w:pPr>
              <w:keepNext/>
              <w:keepLines/>
              <w:spacing w:before="20" w:after="20"/>
              <w:jc w:val="center"/>
              <w:rPr>
                <w:sz w:val="20"/>
                <w:szCs w:val="20"/>
                <w:lang w:eastAsia="sk-SK"/>
              </w:rPr>
            </w:pPr>
            <w:r>
              <w:rPr>
                <w:sz w:val="20"/>
                <w:szCs w:val="20"/>
                <w:lang w:eastAsia="sk-SK"/>
              </w:rPr>
              <w:t>3,70</w:t>
            </w:r>
          </w:p>
        </w:tc>
        <w:tc>
          <w:tcPr>
            <w:tcW w:w="279" w:type="pct"/>
            <w:tcBorders>
              <w:top w:val="single" w:sz="4" w:space="0" w:color="auto"/>
              <w:left w:val="nil"/>
              <w:bottom w:val="single" w:sz="4" w:space="0" w:color="auto"/>
              <w:right w:val="nil"/>
            </w:tcBorders>
            <w:tcMar>
              <w:left w:w="28" w:type="dxa"/>
              <w:right w:w="28" w:type="dxa"/>
            </w:tcMar>
            <w:vAlign w:val="center"/>
          </w:tcPr>
          <w:p w14:paraId="7161614E" w14:textId="4ACB799D" w:rsidR="00DF02C4" w:rsidRPr="00DF02C4" w:rsidRDefault="005477B1" w:rsidP="001A3253">
            <w:pPr>
              <w:keepNext/>
              <w:keepLines/>
              <w:spacing w:before="20" w:after="20"/>
              <w:jc w:val="center"/>
              <w:rPr>
                <w:sz w:val="20"/>
                <w:szCs w:val="20"/>
                <w:lang w:eastAsia="sk-SK"/>
              </w:rPr>
            </w:pPr>
            <w:r>
              <w:rPr>
                <w:sz w:val="20"/>
                <w:szCs w:val="20"/>
                <w:lang w:eastAsia="sk-SK"/>
              </w:rPr>
              <w:t>1.08</w:t>
            </w:r>
          </w:p>
        </w:tc>
        <w:tc>
          <w:tcPr>
            <w:tcW w:w="279" w:type="pct"/>
            <w:tcBorders>
              <w:top w:val="single" w:sz="4" w:space="0" w:color="auto"/>
              <w:left w:val="nil"/>
              <w:bottom w:val="single" w:sz="4" w:space="0" w:color="auto"/>
              <w:right w:val="nil"/>
            </w:tcBorders>
            <w:tcMar>
              <w:left w:w="28" w:type="dxa"/>
              <w:right w:w="28" w:type="dxa"/>
            </w:tcMar>
            <w:vAlign w:val="center"/>
          </w:tcPr>
          <w:p w14:paraId="3FDEDEED" w14:textId="7D1D6D52" w:rsidR="00DF02C4" w:rsidRPr="00DF02C4" w:rsidRDefault="005477B1" w:rsidP="001A3253">
            <w:pPr>
              <w:keepNext/>
              <w:keepLines/>
              <w:spacing w:before="20" w:after="20"/>
              <w:jc w:val="center"/>
              <w:rPr>
                <w:sz w:val="20"/>
                <w:szCs w:val="20"/>
                <w:lang w:eastAsia="sk-SK"/>
              </w:rPr>
            </w:pPr>
            <w:r>
              <w:rPr>
                <w:sz w:val="20"/>
                <w:szCs w:val="20"/>
                <w:lang w:eastAsia="sk-SK"/>
              </w:rPr>
              <w:t>1,32</w:t>
            </w:r>
          </w:p>
        </w:tc>
        <w:tc>
          <w:tcPr>
            <w:tcW w:w="279" w:type="pct"/>
            <w:tcBorders>
              <w:top w:val="single" w:sz="4" w:space="0" w:color="auto"/>
              <w:left w:val="nil"/>
              <w:bottom w:val="single" w:sz="4" w:space="0" w:color="auto"/>
            </w:tcBorders>
            <w:tcMar>
              <w:left w:w="28" w:type="dxa"/>
              <w:right w:w="28" w:type="dxa"/>
            </w:tcMar>
            <w:vAlign w:val="center"/>
          </w:tcPr>
          <w:p w14:paraId="641B1205" w14:textId="3ABF1EC2" w:rsidR="00DF02C4" w:rsidRPr="00DF02C4" w:rsidRDefault="005477B1" w:rsidP="001A3253">
            <w:pPr>
              <w:keepNext/>
              <w:keepLines/>
              <w:spacing w:before="20" w:after="20"/>
              <w:jc w:val="center"/>
              <w:rPr>
                <w:sz w:val="20"/>
                <w:szCs w:val="20"/>
                <w:lang w:eastAsia="sk-SK"/>
              </w:rPr>
            </w:pPr>
            <w:r>
              <w:rPr>
                <w:sz w:val="20"/>
                <w:szCs w:val="20"/>
                <w:lang w:eastAsia="sk-SK"/>
              </w:rPr>
              <w:t>0,58</w:t>
            </w:r>
          </w:p>
        </w:tc>
      </w:tr>
      <w:tr w:rsidR="003B3619" w:rsidRPr="00DF02C4" w14:paraId="6A70D271" w14:textId="77777777" w:rsidTr="0074238E">
        <w:trPr>
          <w:trHeight w:val="300"/>
        </w:trPr>
        <w:tc>
          <w:tcPr>
            <w:tcW w:w="2197" w:type="pct"/>
            <w:tcBorders>
              <w:top w:val="single" w:sz="4" w:space="0" w:color="auto"/>
              <w:bottom w:val="double" w:sz="4" w:space="0" w:color="auto"/>
            </w:tcBorders>
            <w:shd w:val="clear" w:color="auto" w:fill="auto"/>
            <w:tcMar>
              <w:left w:w="28" w:type="dxa"/>
              <w:right w:w="28" w:type="dxa"/>
            </w:tcMar>
            <w:vAlign w:val="center"/>
          </w:tcPr>
          <w:p w14:paraId="7CB897C1" w14:textId="6D3CA148" w:rsidR="00DF02C4" w:rsidRPr="00DF02C4" w:rsidRDefault="00DF02C4" w:rsidP="001A3253">
            <w:pPr>
              <w:keepNext/>
              <w:keepLines/>
              <w:spacing w:before="20" w:after="20"/>
              <w:rPr>
                <w:sz w:val="20"/>
                <w:szCs w:val="20"/>
                <w:lang w:eastAsia="sk-SK"/>
              </w:rPr>
            </w:pPr>
            <w:r w:rsidRPr="00DF02C4">
              <w:rPr>
                <w:sz w:val="20"/>
                <w:szCs w:val="20"/>
                <w:lang w:eastAsia="sk-SK"/>
              </w:rPr>
              <w:t>Podiel hi</w:t>
            </w:r>
            <w:r w:rsidR="0074238E">
              <w:rPr>
                <w:sz w:val="20"/>
                <w:szCs w:val="20"/>
                <w:lang w:eastAsia="sk-SK"/>
              </w:rPr>
              <w:t>gh</w:t>
            </w:r>
            <w:r w:rsidRPr="00DF02C4">
              <w:rPr>
                <w:sz w:val="20"/>
                <w:szCs w:val="20"/>
                <w:lang w:eastAsia="sk-SK"/>
              </w:rPr>
              <w:t>-tech exportov na celkových exportoch (%)</w:t>
            </w:r>
          </w:p>
        </w:tc>
        <w:tc>
          <w:tcPr>
            <w:tcW w:w="279" w:type="pct"/>
            <w:tcBorders>
              <w:top w:val="single" w:sz="4" w:space="0" w:color="auto"/>
              <w:bottom w:val="double" w:sz="4" w:space="0" w:color="auto"/>
              <w:right w:val="nil"/>
            </w:tcBorders>
            <w:tcMar>
              <w:left w:w="28" w:type="dxa"/>
              <w:right w:w="28" w:type="dxa"/>
            </w:tcMar>
            <w:vAlign w:val="center"/>
          </w:tcPr>
          <w:p w14:paraId="50A2B57B" w14:textId="636304AE" w:rsidR="00DF02C4" w:rsidRPr="00DF02C4" w:rsidRDefault="00DF02C4" w:rsidP="001A3253">
            <w:pPr>
              <w:keepNext/>
              <w:keepLines/>
              <w:spacing w:before="20" w:after="20"/>
              <w:jc w:val="center"/>
              <w:rPr>
                <w:sz w:val="20"/>
                <w:szCs w:val="20"/>
                <w:lang w:eastAsia="sk-SK"/>
              </w:rPr>
            </w:pPr>
            <w:r w:rsidRPr="00DF02C4">
              <w:rPr>
                <w:sz w:val="20"/>
                <w:szCs w:val="20"/>
              </w:rPr>
              <w:t>6,60</w:t>
            </w:r>
          </w:p>
        </w:tc>
        <w:tc>
          <w:tcPr>
            <w:tcW w:w="279" w:type="pct"/>
            <w:tcBorders>
              <w:top w:val="single" w:sz="4" w:space="0" w:color="auto"/>
              <w:left w:val="nil"/>
              <w:bottom w:val="double" w:sz="4" w:space="0" w:color="auto"/>
              <w:right w:val="nil"/>
            </w:tcBorders>
            <w:tcMar>
              <w:left w:w="28" w:type="dxa"/>
              <w:right w:w="28" w:type="dxa"/>
            </w:tcMar>
            <w:vAlign w:val="center"/>
          </w:tcPr>
          <w:p w14:paraId="0D191EF5" w14:textId="605A8724" w:rsidR="00DF02C4" w:rsidRPr="00DF02C4" w:rsidRDefault="00DF02C4" w:rsidP="001A3253">
            <w:pPr>
              <w:keepNext/>
              <w:keepLines/>
              <w:spacing w:before="20" w:after="20"/>
              <w:jc w:val="center"/>
              <w:rPr>
                <w:sz w:val="20"/>
                <w:szCs w:val="20"/>
                <w:lang w:eastAsia="sk-SK"/>
              </w:rPr>
            </w:pPr>
            <w:r w:rsidRPr="00DF02C4">
              <w:rPr>
                <w:sz w:val="20"/>
                <w:szCs w:val="20"/>
              </w:rPr>
              <w:t>8,20</w:t>
            </w:r>
          </w:p>
        </w:tc>
        <w:tc>
          <w:tcPr>
            <w:tcW w:w="279" w:type="pct"/>
            <w:tcBorders>
              <w:top w:val="single" w:sz="4" w:space="0" w:color="auto"/>
              <w:left w:val="nil"/>
              <w:bottom w:val="double" w:sz="4" w:space="0" w:color="auto"/>
              <w:right w:val="nil"/>
            </w:tcBorders>
            <w:tcMar>
              <w:left w:w="28" w:type="dxa"/>
              <w:right w:w="28" w:type="dxa"/>
            </w:tcMar>
            <w:vAlign w:val="center"/>
          </w:tcPr>
          <w:p w14:paraId="17C5465E" w14:textId="5CCEE204" w:rsidR="00DF02C4" w:rsidRPr="00DF02C4" w:rsidRDefault="00DF02C4" w:rsidP="001A3253">
            <w:pPr>
              <w:keepNext/>
              <w:keepLines/>
              <w:spacing w:before="20" w:after="20"/>
              <w:jc w:val="center"/>
              <w:rPr>
                <w:sz w:val="20"/>
                <w:szCs w:val="20"/>
                <w:lang w:eastAsia="sk-SK"/>
              </w:rPr>
            </w:pPr>
            <w:r w:rsidRPr="00DF02C4">
              <w:rPr>
                <w:sz w:val="20"/>
                <w:szCs w:val="20"/>
              </w:rPr>
              <w:t>9,60</w:t>
            </w:r>
          </w:p>
        </w:tc>
        <w:tc>
          <w:tcPr>
            <w:tcW w:w="279" w:type="pct"/>
            <w:tcBorders>
              <w:top w:val="single" w:sz="4" w:space="0" w:color="auto"/>
              <w:left w:val="nil"/>
              <w:bottom w:val="double" w:sz="4" w:space="0" w:color="auto"/>
              <w:right w:val="nil"/>
            </w:tcBorders>
            <w:tcMar>
              <w:left w:w="28" w:type="dxa"/>
              <w:right w:w="28" w:type="dxa"/>
            </w:tcMar>
            <w:vAlign w:val="center"/>
          </w:tcPr>
          <w:p w14:paraId="062941D1" w14:textId="2753680D" w:rsidR="00DF02C4" w:rsidRPr="00DF02C4" w:rsidRDefault="00DF02C4" w:rsidP="001A3253">
            <w:pPr>
              <w:keepNext/>
              <w:keepLines/>
              <w:spacing w:before="20" w:after="20"/>
              <w:jc w:val="center"/>
              <w:rPr>
                <w:sz w:val="20"/>
                <w:szCs w:val="20"/>
                <w:lang w:eastAsia="sk-SK"/>
              </w:rPr>
            </w:pPr>
            <w:r w:rsidRPr="00DF02C4">
              <w:rPr>
                <w:sz w:val="20"/>
                <w:szCs w:val="20"/>
              </w:rPr>
              <w:t>9,90</w:t>
            </w:r>
          </w:p>
        </w:tc>
        <w:tc>
          <w:tcPr>
            <w:tcW w:w="279" w:type="pct"/>
            <w:tcBorders>
              <w:top w:val="single" w:sz="4" w:space="0" w:color="auto"/>
              <w:left w:val="nil"/>
              <w:bottom w:val="double" w:sz="4" w:space="0" w:color="auto"/>
            </w:tcBorders>
            <w:tcMar>
              <w:left w:w="28" w:type="dxa"/>
              <w:right w:w="28" w:type="dxa"/>
            </w:tcMar>
            <w:vAlign w:val="center"/>
          </w:tcPr>
          <w:p w14:paraId="77CEB535" w14:textId="45CB71DF" w:rsidR="00DF02C4" w:rsidRPr="00DF02C4" w:rsidRDefault="00DF02C4" w:rsidP="001A3253">
            <w:pPr>
              <w:keepNext/>
              <w:keepLines/>
              <w:spacing w:before="20" w:after="20"/>
              <w:jc w:val="center"/>
              <w:rPr>
                <w:sz w:val="20"/>
                <w:szCs w:val="20"/>
                <w:lang w:eastAsia="sk-SK"/>
              </w:rPr>
            </w:pPr>
            <w:r w:rsidRPr="00DF02C4">
              <w:rPr>
                <w:sz w:val="20"/>
                <w:szCs w:val="20"/>
              </w:rPr>
              <w:t>9,80</w:t>
            </w:r>
          </w:p>
        </w:tc>
        <w:tc>
          <w:tcPr>
            <w:tcW w:w="279" w:type="pct"/>
            <w:tcBorders>
              <w:top w:val="single" w:sz="4" w:space="0" w:color="auto"/>
              <w:bottom w:val="double" w:sz="4" w:space="0" w:color="auto"/>
              <w:right w:val="nil"/>
            </w:tcBorders>
            <w:shd w:val="clear" w:color="auto" w:fill="auto"/>
            <w:tcMar>
              <w:left w:w="28" w:type="dxa"/>
              <w:right w:w="28" w:type="dxa"/>
            </w:tcMar>
            <w:vAlign w:val="center"/>
          </w:tcPr>
          <w:p w14:paraId="500A9AA1" w14:textId="75758F40" w:rsidR="00DF02C4" w:rsidRPr="00DF02C4" w:rsidRDefault="003B3619" w:rsidP="001A3253">
            <w:pPr>
              <w:keepNext/>
              <w:keepLines/>
              <w:spacing w:before="20" w:after="20"/>
              <w:jc w:val="center"/>
              <w:rPr>
                <w:sz w:val="20"/>
                <w:szCs w:val="20"/>
                <w:lang w:eastAsia="sk-SK"/>
              </w:rPr>
            </w:pPr>
            <w:r>
              <w:rPr>
                <w:sz w:val="20"/>
                <w:szCs w:val="20"/>
                <w:lang w:eastAsia="sk-SK"/>
              </w:rPr>
              <w:t>9,80</w:t>
            </w:r>
          </w:p>
        </w:tc>
        <w:tc>
          <w:tcPr>
            <w:tcW w:w="294" w:type="pct"/>
            <w:tcBorders>
              <w:top w:val="single" w:sz="4" w:space="0" w:color="auto"/>
              <w:left w:val="nil"/>
              <w:bottom w:val="double" w:sz="4" w:space="0" w:color="auto"/>
              <w:right w:val="nil"/>
            </w:tcBorders>
            <w:shd w:val="clear" w:color="auto" w:fill="auto"/>
            <w:tcMar>
              <w:left w:w="28" w:type="dxa"/>
              <w:right w:w="28" w:type="dxa"/>
            </w:tcMar>
            <w:vAlign w:val="center"/>
          </w:tcPr>
          <w:p w14:paraId="41DAED60" w14:textId="73072DD1" w:rsidR="00DF02C4" w:rsidRPr="00DF02C4" w:rsidRDefault="003B3619" w:rsidP="001A3253">
            <w:pPr>
              <w:keepNext/>
              <w:keepLines/>
              <w:spacing w:before="20" w:after="20"/>
              <w:jc w:val="center"/>
              <w:rPr>
                <w:sz w:val="20"/>
                <w:szCs w:val="20"/>
                <w:lang w:eastAsia="sk-SK"/>
              </w:rPr>
            </w:pPr>
            <w:r>
              <w:rPr>
                <w:sz w:val="20"/>
                <w:szCs w:val="20"/>
                <w:lang w:eastAsia="sk-SK"/>
              </w:rPr>
              <w:t>17,0</w:t>
            </w:r>
          </w:p>
        </w:tc>
        <w:tc>
          <w:tcPr>
            <w:tcW w:w="279" w:type="pct"/>
            <w:tcBorders>
              <w:top w:val="single" w:sz="4" w:space="0" w:color="auto"/>
              <w:left w:val="nil"/>
              <w:bottom w:val="double" w:sz="4" w:space="0" w:color="auto"/>
              <w:right w:val="nil"/>
            </w:tcBorders>
            <w:tcMar>
              <w:left w:w="28" w:type="dxa"/>
              <w:right w:w="28" w:type="dxa"/>
            </w:tcMar>
            <w:vAlign w:val="center"/>
          </w:tcPr>
          <w:p w14:paraId="06D16261" w14:textId="6BD2E795" w:rsidR="00DF02C4" w:rsidRPr="00DF02C4" w:rsidRDefault="003B3619" w:rsidP="001A3253">
            <w:pPr>
              <w:keepNext/>
              <w:keepLines/>
              <w:spacing w:before="20" w:after="20"/>
              <w:jc w:val="center"/>
              <w:rPr>
                <w:sz w:val="20"/>
                <w:szCs w:val="20"/>
                <w:lang w:eastAsia="sk-SK"/>
              </w:rPr>
            </w:pPr>
            <w:r>
              <w:rPr>
                <w:sz w:val="20"/>
                <w:szCs w:val="20"/>
                <w:lang w:eastAsia="sk-SK"/>
              </w:rPr>
              <w:t>15,4</w:t>
            </w:r>
          </w:p>
        </w:tc>
        <w:tc>
          <w:tcPr>
            <w:tcW w:w="279" w:type="pct"/>
            <w:tcBorders>
              <w:top w:val="single" w:sz="4" w:space="0" w:color="auto"/>
              <w:left w:val="nil"/>
              <w:bottom w:val="double" w:sz="4" w:space="0" w:color="auto"/>
              <w:right w:val="nil"/>
            </w:tcBorders>
            <w:tcMar>
              <w:left w:w="28" w:type="dxa"/>
              <w:right w:w="28" w:type="dxa"/>
            </w:tcMar>
            <w:vAlign w:val="center"/>
          </w:tcPr>
          <w:p w14:paraId="29B7E94C" w14:textId="7472D086" w:rsidR="00DF02C4" w:rsidRPr="00DF02C4" w:rsidRDefault="003B3619" w:rsidP="001A3253">
            <w:pPr>
              <w:keepNext/>
              <w:keepLines/>
              <w:spacing w:before="20" w:after="20"/>
              <w:jc w:val="center"/>
              <w:rPr>
                <w:sz w:val="20"/>
                <w:szCs w:val="20"/>
                <w:lang w:eastAsia="sk-SK"/>
              </w:rPr>
            </w:pPr>
            <w:r>
              <w:rPr>
                <w:sz w:val="20"/>
                <w:szCs w:val="20"/>
                <w:lang w:eastAsia="sk-SK"/>
              </w:rPr>
              <w:t>15,2</w:t>
            </w:r>
          </w:p>
        </w:tc>
        <w:tc>
          <w:tcPr>
            <w:tcW w:w="279" w:type="pct"/>
            <w:tcBorders>
              <w:top w:val="single" w:sz="4" w:space="0" w:color="auto"/>
              <w:left w:val="nil"/>
              <w:bottom w:val="double" w:sz="4" w:space="0" w:color="auto"/>
            </w:tcBorders>
            <w:tcMar>
              <w:left w:w="28" w:type="dxa"/>
              <w:right w:w="28" w:type="dxa"/>
            </w:tcMar>
            <w:vAlign w:val="center"/>
          </w:tcPr>
          <w:p w14:paraId="0F7DDC15" w14:textId="47228600" w:rsidR="00DF02C4" w:rsidRPr="00DF02C4" w:rsidRDefault="003B3619" w:rsidP="001A3253">
            <w:pPr>
              <w:keepNext/>
              <w:keepLines/>
              <w:spacing w:before="20" w:after="20"/>
              <w:jc w:val="center"/>
              <w:rPr>
                <w:sz w:val="20"/>
                <w:szCs w:val="20"/>
                <w:lang w:eastAsia="sk-SK"/>
              </w:rPr>
            </w:pPr>
            <w:r>
              <w:rPr>
                <w:sz w:val="20"/>
                <w:szCs w:val="20"/>
                <w:lang w:eastAsia="sk-SK"/>
              </w:rPr>
              <w:t>8.5</w:t>
            </w:r>
          </w:p>
        </w:tc>
      </w:tr>
    </w:tbl>
    <w:p w14:paraId="6CFEDE9C" w14:textId="78A3BD9E" w:rsidR="00DF02C4" w:rsidRPr="00DF02C4" w:rsidRDefault="003B3619" w:rsidP="00DF02C4">
      <w:pPr>
        <w:pStyle w:val="Odstavecseseznamem"/>
        <w:keepNext/>
        <w:keepLines/>
        <w:ind w:left="0"/>
        <w:rPr>
          <w:sz w:val="20"/>
          <w:szCs w:val="20"/>
        </w:rPr>
      </w:pPr>
      <w:r>
        <w:rPr>
          <w:sz w:val="20"/>
          <w:szCs w:val="20"/>
        </w:rPr>
        <w:t xml:space="preserve">Zdroje: </w:t>
      </w:r>
      <w:proofErr w:type="spellStart"/>
      <w:r>
        <w:rPr>
          <w:sz w:val="20"/>
          <w:szCs w:val="20"/>
        </w:rPr>
        <w:t>Eurostat</w:t>
      </w:r>
      <w:proofErr w:type="spellEnd"/>
      <w:r>
        <w:rPr>
          <w:sz w:val="20"/>
          <w:szCs w:val="20"/>
        </w:rPr>
        <w:t xml:space="preserve"> (2017): </w:t>
      </w:r>
      <w:proofErr w:type="spellStart"/>
      <w:r w:rsidRPr="00C931FB">
        <w:rPr>
          <w:i/>
          <w:sz w:val="20"/>
          <w:szCs w:val="20"/>
        </w:rPr>
        <w:t>Total</w:t>
      </w:r>
      <w:proofErr w:type="spellEnd"/>
      <w:r w:rsidRPr="00C931FB">
        <w:rPr>
          <w:i/>
          <w:sz w:val="20"/>
          <w:szCs w:val="20"/>
        </w:rPr>
        <w:t xml:space="preserve"> </w:t>
      </w:r>
      <w:proofErr w:type="spellStart"/>
      <w:r w:rsidRPr="00C931FB">
        <w:rPr>
          <w:i/>
          <w:sz w:val="20"/>
          <w:szCs w:val="20"/>
        </w:rPr>
        <w:t>intramural</w:t>
      </w:r>
      <w:proofErr w:type="spellEnd"/>
      <w:r w:rsidRPr="00C931FB">
        <w:rPr>
          <w:i/>
          <w:sz w:val="20"/>
          <w:szCs w:val="20"/>
        </w:rPr>
        <w:t xml:space="preserve"> R&amp;D </w:t>
      </w:r>
      <w:proofErr w:type="spellStart"/>
      <w:r w:rsidRPr="00C931FB">
        <w:rPr>
          <w:i/>
          <w:sz w:val="20"/>
          <w:szCs w:val="20"/>
        </w:rPr>
        <w:t>expenditure</w:t>
      </w:r>
      <w:proofErr w:type="spellEnd"/>
      <w:r w:rsidRPr="00C931FB">
        <w:rPr>
          <w:i/>
          <w:sz w:val="20"/>
          <w:szCs w:val="20"/>
        </w:rPr>
        <w:t xml:space="preserve"> (GERD) by </w:t>
      </w:r>
      <w:proofErr w:type="spellStart"/>
      <w:r w:rsidRPr="00C931FB">
        <w:rPr>
          <w:i/>
          <w:sz w:val="20"/>
          <w:szCs w:val="20"/>
        </w:rPr>
        <w:t>sectors</w:t>
      </w:r>
      <w:proofErr w:type="spellEnd"/>
      <w:r w:rsidRPr="00C931FB">
        <w:rPr>
          <w:i/>
          <w:sz w:val="20"/>
          <w:szCs w:val="20"/>
        </w:rPr>
        <w:t xml:space="preserve"> of </w:t>
      </w:r>
      <w:proofErr w:type="spellStart"/>
      <w:r w:rsidRPr="00C931FB">
        <w:rPr>
          <w:i/>
          <w:sz w:val="20"/>
          <w:szCs w:val="20"/>
        </w:rPr>
        <w:t>performance</w:t>
      </w:r>
      <w:proofErr w:type="spellEnd"/>
      <w:r w:rsidR="004E3CC2" w:rsidRPr="00C931FB">
        <w:rPr>
          <w:i/>
          <w:sz w:val="20"/>
          <w:szCs w:val="20"/>
        </w:rPr>
        <w:t xml:space="preserve">, </w:t>
      </w:r>
      <w:proofErr w:type="spellStart"/>
      <w:r w:rsidR="004E3CC2" w:rsidRPr="00C931FB">
        <w:rPr>
          <w:i/>
          <w:sz w:val="20"/>
          <w:szCs w:val="20"/>
        </w:rPr>
        <w:t>Employment</w:t>
      </w:r>
      <w:proofErr w:type="spellEnd"/>
      <w:r w:rsidR="004E3CC2" w:rsidRPr="00C931FB">
        <w:rPr>
          <w:i/>
          <w:sz w:val="20"/>
          <w:szCs w:val="20"/>
        </w:rPr>
        <w:t xml:space="preserve"> in </w:t>
      </w:r>
      <w:proofErr w:type="spellStart"/>
      <w:r w:rsidR="004E3CC2" w:rsidRPr="00C931FB">
        <w:rPr>
          <w:i/>
          <w:sz w:val="20"/>
          <w:szCs w:val="20"/>
        </w:rPr>
        <w:t>technology</w:t>
      </w:r>
      <w:proofErr w:type="spellEnd"/>
      <w:r w:rsidR="004E3CC2" w:rsidRPr="00C931FB">
        <w:rPr>
          <w:i/>
          <w:sz w:val="20"/>
          <w:szCs w:val="20"/>
        </w:rPr>
        <w:t xml:space="preserve"> and </w:t>
      </w:r>
      <w:proofErr w:type="spellStart"/>
      <w:r w:rsidR="004E3CC2" w:rsidRPr="00C931FB">
        <w:rPr>
          <w:i/>
          <w:sz w:val="20"/>
          <w:szCs w:val="20"/>
        </w:rPr>
        <w:t>knowledge-intensive</w:t>
      </w:r>
      <w:proofErr w:type="spellEnd"/>
      <w:r w:rsidR="004E3CC2" w:rsidRPr="00C931FB">
        <w:rPr>
          <w:i/>
          <w:sz w:val="20"/>
          <w:szCs w:val="20"/>
        </w:rPr>
        <w:t xml:space="preserve"> </w:t>
      </w:r>
      <w:proofErr w:type="spellStart"/>
      <w:r w:rsidR="004E3CC2" w:rsidRPr="00C931FB">
        <w:rPr>
          <w:i/>
          <w:sz w:val="20"/>
          <w:szCs w:val="20"/>
        </w:rPr>
        <w:t>sectors</w:t>
      </w:r>
      <w:proofErr w:type="spellEnd"/>
      <w:r w:rsidR="004E3CC2" w:rsidRPr="00C931FB">
        <w:rPr>
          <w:i/>
          <w:sz w:val="20"/>
          <w:szCs w:val="20"/>
        </w:rPr>
        <w:t xml:space="preserve"> at </w:t>
      </w:r>
      <w:proofErr w:type="spellStart"/>
      <w:r w:rsidR="004E3CC2" w:rsidRPr="00C931FB">
        <w:rPr>
          <w:i/>
          <w:sz w:val="20"/>
          <w:szCs w:val="20"/>
        </w:rPr>
        <w:t>the</w:t>
      </w:r>
      <w:proofErr w:type="spellEnd"/>
      <w:r w:rsidR="004E3CC2" w:rsidRPr="00C931FB">
        <w:rPr>
          <w:i/>
          <w:sz w:val="20"/>
          <w:szCs w:val="20"/>
        </w:rPr>
        <w:t xml:space="preserve"> </w:t>
      </w:r>
      <w:proofErr w:type="spellStart"/>
      <w:r w:rsidR="004E3CC2" w:rsidRPr="00C931FB">
        <w:rPr>
          <w:i/>
          <w:sz w:val="20"/>
          <w:szCs w:val="20"/>
        </w:rPr>
        <w:t>national</w:t>
      </w:r>
      <w:proofErr w:type="spellEnd"/>
      <w:r w:rsidR="004E3CC2" w:rsidRPr="00C931FB">
        <w:rPr>
          <w:i/>
          <w:sz w:val="20"/>
          <w:szCs w:val="20"/>
        </w:rPr>
        <w:t xml:space="preserve"> level</w:t>
      </w:r>
      <w:r w:rsidR="001E10E4">
        <w:rPr>
          <w:sz w:val="20"/>
          <w:szCs w:val="20"/>
          <w:lang w:val="en-US"/>
        </w:rPr>
        <w:t>;</w:t>
      </w:r>
      <w:r w:rsidR="00DF02C4" w:rsidRPr="00DF02C4">
        <w:rPr>
          <w:sz w:val="20"/>
          <w:szCs w:val="20"/>
        </w:rPr>
        <w:t xml:space="preserve"> </w:t>
      </w:r>
      <w:proofErr w:type="spellStart"/>
      <w:r w:rsidRPr="003B3619">
        <w:rPr>
          <w:sz w:val="20"/>
          <w:szCs w:val="20"/>
        </w:rPr>
        <w:t>European</w:t>
      </w:r>
      <w:proofErr w:type="spellEnd"/>
      <w:r w:rsidRPr="003B3619">
        <w:rPr>
          <w:sz w:val="20"/>
          <w:szCs w:val="20"/>
        </w:rPr>
        <w:t xml:space="preserve"> </w:t>
      </w:r>
      <w:proofErr w:type="spellStart"/>
      <w:r w:rsidRPr="003B3619">
        <w:rPr>
          <w:sz w:val="20"/>
          <w:szCs w:val="20"/>
        </w:rPr>
        <w:t>Commission</w:t>
      </w:r>
      <w:proofErr w:type="spellEnd"/>
      <w:r w:rsidRPr="003B3619">
        <w:rPr>
          <w:sz w:val="20"/>
          <w:szCs w:val="20"/>
        </w:rPr>
        <w:t xml:space="preserve">, DG </w:t>
      </w:r>
      <w:proofErr w:type="spellStart"/>
      <w:r w:rsidRPr="003B3619">
        <w:rPr>
          <w:sz w:val="20"/>
          <w:szCs w:val="20"/>
        </w:rPr>
        <w:t>Growth</w:t>
      </w:r>
      <w:proofErr w:type="spellEnd"/>
      <w:r w:rsidRPr="003B3619">
        <w:rPr>
          <w:sz w:val="20"/>
          <w:szCs w:val="20"/>
        </w:rPr>
        <w:t xml:space="preserve"> (2017): </w:t>
      </w:r>
      <w:proofErr w:type="spellStart"/>
      <w:r w:rsidRPr="001E10E4">
        <w:rPr>
          <w:i/>
          <w:sz w:val="20"/>
          <w:szCs w:val="20"/>
        </w:rPr>
        <w:t>European</w:t>
      </w:r>
      <w:proofErr w:type="spellEnd"/>
      <w:r w:rsidRPr="001E10E4">
        <w:rPr>
          <w:i/>
          <w:sz w:val="20"/>
          <w:szCs w:val="20"/>
        </w:rPr>
        <w:t xml:space="preserve"> </w:t>
      </w:r>
      <w:proofErr w:type="spellStart"/>
      <w:r w:rsidRPr="001E10E4">
        <w:rPr>
          <w:i/>
          <w:sz w:val="20"/>
          <w:szCs w:val="20"/>
        </w:rPr>
        <w:t>Innovation</w:t>
      </w:r>
      <w:proofErr w:type="spellEnd"/>
      <w:r w:rsidRPr="001E10E4">
        <w:rPr>
          <w:i/>
          <w:sz w:val="20"/>
          <w:szCs w:val="20"/>
        </w:rPr>
        <w:t xml:space="preserve"> </w:t>
      </w:r>
      <w:proofErr w:type="spellStart"/>
      <w:r w:rsidRPr="001E10E4">
        <w:rPr>
          <w:i/>
          <w:sz w:val="20"/>
          <w:szCs w:val="20"/>
        </w:rPr>
        <w:t>Scoreboard</w:t>
      </w:r>
      <w:proofErr w:type="spellEnd"/>
      <w:r w:rsidRPr="001E10E4">
        <w:rPr>
          <w:i/>
          <w:sz w:val="20"/>
          <w:szCs w:val="20"/>
        </w:rPr>
        <w:t xml:space="preserve"> 2017</w:t>
      </w:r>
      <w:r w:rsidR="004E3CC2">
        <w:rPr>
          <w:sz w:val="20"/>
          <w:szCs w:val="20"/>
        </w:rPr>
        <w:t xml:space="preserve">. </w:t>
      </w:r>
      <w:r w:rsidR="00DF02C4" w:rsidRPr="00DF02C4">
        <w:rPr>
          <w:sz w:val="20"/>
          <w:szCs w:val="20"/>
        </w:rPr>
        <w:t xml:space="preserve">Poznámky: </w:t>
      </w:r>
      <w:proofErr w:type="spellStart"/>
      <w:r w:rsidR="00DF02C4" w:rsidRPr="00DF02C4">
        <w:rPr>
          <w:sz w:val="20"/>
          <w:szCs w:val="20"/>
        </w:rPr>
        <w:t>hi</w:t>
      </w:r>
      <w:r w:rsidR="00C931FB">
        <w:rPr>
          <w:sz w:val="20"/>
          <w:szCs w:val="20"/>
        </w:rPr>
        <w:t>gh</w:t>
      </w:r>
      <w:r w:rsidR="00DF02C4" w:rsidRPr="00DF02C4">
        <w:rPr>
          <w:sz w:val="20"/>
          <w:szCs w:val="20"/>
        </w:rPr>
        <w:t>-tech</w:t>
      </w:r>
      <w:proofErr w:type="spellEnd"/>
      <w:r w:rsidR="00DF02C4" w:rsidRPr="00DF02C4">
        <w:rPr>
          <w:sz w:val="20"/>
          <w:szCs w:val="20"/>
        </w:rPr>
        <w:t xml:space="preserve"> sektory zahŕňajú </w:t>
      </w:r>
      <w:proofErr w:type="spellStart"/>
      <w:r w:rsidR="00DF02C4" w:rsidRPr="00DF02C4">
        <w:rPr>
          <w:sz w:val="20"/>
          <w:szCs w:val="20"/>
        </w:rPr>
        <w:t>high</w:t>
      </w:r>
      <w:proofErr w:type="spellEnd"/>
      <w:r w:rsidR="00DF02C4" w:rsidRPr="00DF02C4">
        <w:rPr>
          <w:sz w:val="20"/>
          <w:szCs w:val="20"/>
        </w:rPr>
        <w:t xml:space="preserve"> a </w:t>
      </w:r>
      <w:proofErr w:type="spellStart"/>
      <w:r w:rsidR="00DF02C4" w:rsidRPr="00DF02C4">
        <w:rPr>
          <w:sz w:val="20"/>
          <w:szCs w:val="20"/>
        </w:rPr>
        <w:t>medium-tech</w:t>
      </w:r>
      <w:proofErr w:type="spellEnd"/>
      <w:r w:rsidR="00DF02C4" w:rsidRPr="00DF02C4">
        <w:rPr>
          <w:sz w:val="20"/>
          <w:szCs w:val="20"/>
        </w:rPr>
        <w:t xml:space="preserve"> priemysel a poznatkovo-intenzívne služby</w:t>
      </w:r>
      <w:r w:rsidR="001E10E4">
        <w:rPr>
          <w:sz w:val="20"/>
          <w:szCs w:val="20"/>
        </w:rPr>
        <w:t>.</w:t>
      </w:r>
    </w:p>
    <w:p w14:paraId="30A46EC3" w14:textId="6CBD4777" w:rsidR="00DF02C4" w:rsidRDefault="00DF02C4" w:rsidP="004635B8"/>
    <w:p w14:paraId="346B9545" w14:textId="1E4A476B" w:rsidR="001E10E4" w:rsidRDefault="001E10E4">
      <w:pPr>
        <w:spacing w:after="0"/>
        <w:jc w:val="left"/>
      </w:pPr>
      <w:r>
        <w:br w:type="page"/>
      </w:r>
    </w:p>
    <w:p w14:paraId="137FFC13" w14:textId="70810BAD" w:rsidR="001E10E4" w:rsidRDefault="001E10E4" w:rsidP="00715F57">
      <w:pPr>
        <w:pStyle w:val="Nadpis3"/>
      </w:pPr>
      <w:bookmarkStart w:id="49" w:name="_Toc500706017"/>
      <w:r>
        <w:lastRenderedPageBreak/>
        <w:t>Príloha k téme 2</w:t>
      </w:r>
      <w:bookmarkEnd w:id="49"/>
    </w:p>
    <w:p w14:paraId="01CBD9C0" w14:textId="77777777" w:rsidR="00FA33A2" w:rsidRDefault="00C20D5A" w:rsidP="004635B8">
      <w:pPr>
        <w:rPr>
          <w:b/>
        </w:rPr>
      </w:pPr>
      <w:r>
        <w:rPr>
          <w:b/>
          <w:noProof/>
          <w:lang w:val="cs-CZ" w:eastAsia="cs-CZ"/>
        </w:rPr>
        <w:drawing>
          <wp:inline distT="0" distB="0" distL="0" distR="0" wp14:anchorId="54312983" wp14:editId="08A2D976">
            <wp:extent cx="5657850" cy="3600450"/>
            <wp:effectExtent l="0" t="0" r="0" b="0"/>
            <wp:docPr id="23" name="Graf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FA33A2" w:rsidRPr="00FA33A2">
        <w:rPr>
          <w:b/>
        </w:rPr>
        <w:t xml:space="preserve"> </w:t>
      </w:r>
    </w:p>
    <w:p w14:paraId="121A38BF" w14:textId="66500DEF" w:rsidR="001E10E4" w:rsidRDefault="00FA33A2" w:rsidP="002172B7">
      <w:bookmarkStart w:id="50" w:name="_Toc500705959"/>
      <w:r w:rsidRPr="008F3AE0">
        <w:rPr>
          <w:b/>
        </w:rPr>
        <w:t xml:space="preserve">Graf </w:t>
      </w:r>
      <w:r w:rsidRPr="008F3AE0">
        <w:rPr>
          <w:b/>
          <w:i/>
        </w:rPr>
        <w:fldChar w:fldCharType="begin"/>
      </w:r>
      <w:r w:rsidRPr="008F3AE0">
        <w:rPr>
          <w:b/>
        </w:rPr>
        <w:instrText xml:space="preserve"> SEQ Graf \* ARABIC </w:instrText>
      </w:r>
      <w:r w:rsidRPr="008F3AE0">
        <w:rPr>
          <w:b/>
          <w:i/>
        </w:rPr>
        <w:fldChar w:fldCharType="separate"/>
      </w:r>
      <w:r>
        <w:rPr>
          <w:b/>
          <w:noProof/>
        </w:rPr>
        <w:t>4</w:t>
      </w:r>
      <w:r w:rsidRPr="008F3AE0">
        <w:rPr>
          <w:b/>
          <w:i/>
        </w:rPr>
        <w:fldChar w:fldCharType="end"/>
      </w:r>
      <w:r w:rsidRPr="008F3AE0">
        <w:rPr>
          <w:b/>
        </w:rPr>
        <w:t>:</w:t>
      </w:r>
      <w:r w:rsidRPr="00A653FE">
        <w:t xml:space="preserve"> </w:t>
      </w:r>
      <w:r w:rsidR="00B72FA9" w:rsidRPr="00FA33A2">
        <w:t xml:space="preserve">Miera predčasného ukončenia  školskej  dochádzky (%). Zdroj: </w:t>
      </w:r>
      <w:proofErr w:type="spellStart"/>
      <w:r w:rsidR="00B72FA9" w:rsidRPr="00FA33A2">
        <w:t>Eurostat</w:t>
      </w:r>
      <w:proofErr w:type="spellEnd"/>
      <w:r w:rsidR="00B72FA9" w:rsidRPr="00FA33A2">
        <w:t xml:space="preserve"> (2017): </w:t>
      </w:r>
      <w:proofErr w:type="spellStart"/>
      <w:r w:rsidR="00B72FA9" w:rsidRPr="00FA33A2">
        <w:t>Early</w:t>
      </w:r>
      <w:proofErr w:type="spellEnd"/>
      <w:r w:rsidR="00B72FA9" w:rsidRPr="00FA33A2">
        <w:t xml:space="preserve"> </w:t>
      </w:r>
      <w:proofErr w:type="spellStart"/>
      <w:r w:rsidR="00B72FA9" w:rsidRPr="00FA33A2">
        <w:t>leavers</w:t>
      </w:r>
      <w:proofErr w:type="spellEnd"/>
      <w:r w:rsidR="00B72FA9" w:rsidRPr="00FA33A2">
        <w:t xml:space="preserve"> </w:t>
      </w:r>
      <w:proofErr w:type="spellStart"/>
      <w:r w:rsidR="00B72FA9" w:rsidRPr="00FA33A2">
        <w:t>from</w:t>
      </w:r>
      <w:proofErr w:type="spellEnd"/>
      <w:r w:rsidR="00B72FA9" w:rsidRPr="00FA33A2">
        <w:t xml:space="preserve"> </w:t>
      </w:r>
      <w:proofErr w:type="spellStart"/>
      <w:r w:rsidR="00B72FA9" w:rsidRPr="00FA33A2">
        <w:t>education</w:t>
      </w:r>
      <w:proofErr w:type="spellEnd"/>
      <w:r w:rsidR="00B72FA9" w:rsidRPr="00FA33A2">
        <w:t xml:space="preserve"> and </w:t>
      </w:r>
      <w:proofErr w:type="spellStart"/>
      <w:r w:rsidR="00B72FA9" w:rsidRPr="00FA33A2">
        <w:t>training</w:t>
      </w:r>
      <w:bookmarkEnd w:id="50"/>
      <w:proofErr w:type="spellEnd"/>
      <w:r w:rsidR="00B72FA9" w:rsidRPr="00FA33A2">
        <w:t xml:space="preserve"> </w:t>
      </w:r>
    </w:p>
    <w:p w14:paraId="018C72F6" w14:textId="5DC3C9F1" w:rsidR="00C20D5A" w:rsidRDefault="00C20D5A" w:rsidP="004635B8"/>
    <w:p w14:paraId="44211328" w14:textId="77777777" w:rsidR="00FA33A2" w:rsidRDefault="00B72FA9" w:rsidP="001D3773">
      <w:pPr>
        <w:rPr>
          <w:b/>
        </w:rPr>
      </w:pPr>
      <w:r>
        <w:rPr>
          <w:b/>
          <w:noProof/>
          <w:lang w:val="cs-CZ" w:eastAsia="cs-CZ"/>
        </w:rPr>
        <w:drawing>
          <wp:inline distT="0" distB="0" distL="0" distR="0" wp14:anchorId="76447D9E" wp14:editId="494092C8">
            <wp:extent cx="5667375" cy="3524250"/>
            <wp:effectExtent l="0" t="0" r="9525" b="0"/>
            <wp:docPr id="24" name="Graf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FA33A2" w:rsidRPr="00FA33A2">
        <w:rPr>
          <w:b/>
        </w:rPr>
        <w:t xml:space="preserve"> </w:t>
      </w:r>
    </w:p>
    <w:p w14:paraId="1A89B982" w14:textId="00B5BC06" w:rsidR="00C20D5A" w:rsidRPr="001D3773" w:rsidRDefault="00FA33A2" w:rsidP="002172B7">
      <w:bookmarkStart w:id="51" w:name="_Toc500705960"/>
      <w:r w:rsidRPr="008F3AE0">
        <w:rPr>
          <w:b/>
        </w:rPr>
        <w:t xml:space="preserve">Graf </w:t>
      </w:r>
      <w:r w:rsidRPr="008F3AE0">
        <w:rPr>
          <w:b/>
          <w:i/>
        </w:rPr>
        <w:fldChar w:fldCharType="begin"/>
      </w:r>
      <w:r w:rsidRPr="008F3AE0">
        <w:rPr>
          <w:b/>
        </w:rPr>
        <w:instrText xml:space="preserve"> SEQ Graf \* ARABIC </w:instrText>
      </w:r>
      <w:r w:rsidRPr="008F3AE0">
        <w:rPr>
          <w:b/>
          <w:i/>
        </w:rPr>
        <w:fldChar w:fldCharType="separate"/>
      </w:r>
      <w:r>
        <w:rPr>
          <w:b/>
          <w:noProof/>
        </w:rPr>
        <w:t>5</w:t>
      </w:r>
      <w:r w:rsidRPr="008F3AE0">
        <w:rPr>
          <w:b/>
          <w:i/>
        </w:rPr>
        <w:fldChar w:fldCharType="end"/>
      </w:r>
      <w:r w:rsidRPr="008F3AE0">
        <w:rPr>
          <w:b/>
        </w:rPr>
        <w:t>:</w:t>
      </w:r>
      <w:r w:rsidRPr="00A653FE">
        <w:t xml:space="preserve"> </w:t>
      </w:r>
      <w:r w:rsidR="001D3773" w:rsidRPr="00FA33A2">
        <w:t xml:space="preserve">Podiel obyvateľov vo  veku 30– 34 rokov s ukončeným vysokoškolským vzdelaním. Zdroj: </w:t>
      </w:r>
      <w:proofErr w:type="spellStart"/>
      <w:r w:rsidR="001D3773" w:rsidRPr="00FA33A2">
        <w:t>Eurostat</w:t>
      </w:r>
      <w:proofErr w:type="spellEnd"/>
      <w:r w:rsidR="001D3773" w:rsidRPr="00FA33A2">
        <w:t xml:space="preserve"> (2017): </w:t>
      </w:r>
      <w:proofErr w:type="spellStart"/>
      <w:r w:rsidR="001D3773" w:rsidRPr="00FA33A2">
        <w:t>Tertiary</w:t>
      </w:r>
      <w:proofErr w:type="spellEnd"/>
      <w:r w:rsidR="001D3773" w:rsidRPr="00FA33A2">
        <w:t xml:space="preserve"> </w:t>
      </w:r>
      <w:proofErr w:type="spellStart"/>
      <w:r w:rsidR="001D3773" w:rsidRPr="00FA33A2">
        <w:t>educational</w:t>
      </w:r>
      <w:proofErr w:type="spellEnd"/>
      <w:r w:rsidR="001D3773" w:rsidRPr="00FA33A2">
        <w:t xml:space="preserve"> </w:t>
      </w:r>
      <w:proofErr w:type="spellStart"/>
      <w:r w:rsidR="001D3773" w:rsidRPr="00FA33A2">
        <w:t>attainment</w:t>
      </w:r>
      <w:proofErr w:type="spellEnd"/>
      <w:r w:rsidR="001D3773" w:rsidRPr="00FA33A2">
        <w:t xml:space="preserve">, </w:t>
      </w:r>
      <w:proofErr w:type="spellStart"/>
      <w:r w:rsidR="001D3773" w:rsidRPr="00FA33A2">
        <w:t>age</w:t>
      </w:r>
      <w:proofErr w:type="spellEnd"/>
      <w:r w:rsidR="001D3773" w:rsidRPr="00FA33A2">
        <w:t xml:space="preserve"> </w:t>
      </w:r>
      <w:proofErr w:type="spellStart"/>
      <w:r w:rsidR="001D3773" w:rsidRPr="00FA33A2">
        <w:t>group</w:t>
      </w:r>
      <w:proofErr w:type="spellEnd"/>
      <w:r w:rsidR="001D3773" w:rsidRPr="00FA33A2">
        <w:t xml:space="preserve"> 30-34</w:t>
      </w:r>
      <w:r w:rsidR="001D3773">
        <w:t>.</w:t>
      </w:r>
      <w:bookmarkEnd w:id="51"/>
    </w:p>
    <w:p w14:paraId="5D09D4C7" w14:textId="77777777" w:rsidR="00B07B0E" w:rsidRDefault="00B07B0E">
      <w:pPr>
        <w:spacing w:after="0"/>
        <w:jc w:val="left"/>
        <w:rPr>
          <w:rFonts w:ascii="Cambria" w:eastAsiaTheme="majorEastAsia" w:hAnsi="Cambria"/>
          <w:b/>
          <w:bCs w:val="0"/>
          <w:color w:val="1F4E79" w:themeColor="accent5" w:themeShade="80"/>
        </w:rPr>
      </w:pPr>
      <w:r>
        <w:br w:type="page"/>
      </w:r>
    </w:p>
    <w:p w14:paraId="781391E2" w14:textId="60090135" w:rsidR="001E10E4" w:rsidRDefault="001E10E4" w:rsidP="00715F57">
      <w:pPr>
        <w:pStyle w:val="Nadpis3"/>
      </w:pPr>
      <w:bookmarkStart w:id="52" w:name="_Toc500706018"/>
      <w:r>
        <w:lastRenderedPageBreak/>
        <w:t>Príloha k téme 3</w:t>
      </w:r>
      <w:bookmarkEnd w:id="52"/>
    </w:p>
    <w:p w14:paraId="5480397A" w14:textId="54660139" w:rsidR="00A653FE" w:rsidRDefault="00A653FE" w:rsidP="00A653FE"/>
    <w:p w14:paraId="23784661" w14:textId="77777777" w:rsidR="00A653FE" w:rsidRPr="008672FB" w:rsidRDefault="00A653FE" w:rsidP="00A653FE">
      <w:pPr>
        <w:keepNext/>
        <w:keepLines/>
      </w:pPr>
      <w:r w:rsidRPr="008672FB">
        <w:rPr>
          <w:noProof/>
          <w:lang w:val="cs-CZ" w:eastAsia="cs-CZ"/>
        </w:rPr>
        <w:drawing>
          <wp:inline distT="0" distB="0" distL="0" distR="0" wp14:anchorId="4997B2AC" wp14:editId="4D2D9FA9">
            <wp:extent cx="5762625" cy="3124200"/>
            <wp:effectExtent l="0" t="0" r="9525" b="0"/>
            <wp:docPr id="60" name="Graf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5830B8B9" w14:textId="4900DBC1" w:rsidR="00A653FE" w:rsidRPr="00B72FA9" w:rsidRDefault="00B72FA9" w:rsidP="00A653FE">
      <w:pPr>
        <w:keepNext/>
        <w:keepLines/>
      </w:pPr>
      <w:bookmarkStart w:id="53" w:name="_Toc500705961"/>
      <w:r w:rsidRPr="008F3AE0">
        <w:rPr>
          <w:b/>
        </w:rPr>
        <w:t xml:space="preserve">Graf </w:t>
      </w:r>
      <w:r w:rsidRPr="008F3AE0">
        <w:rPr>
          <w:b/>
          <w:i/>
        </w:rPr>
        <w:fldChar w:fldCharType="begin"/>
      </w:r>
      <w:r w:rsidRPr="008F3AE0">
        <w:rPr>
          <w:b/>
        </w:rPr>
        <w:instrText xml:space="preserve"> SEQ Graf \* ARABIC </w:instrText>
      </w:r>
      <w:r w:rsidRPr="008F3AE0">
        <w:rPr>
          <w:b/>
          <w:i/>
        </w:rPr>
        <w:fldChar w:fldCharType="separate"/>
      </w:r>
      <w:r>
        <w:rPr>
          <w:b/>
          <w:noProof/>
        </w:rPr>
        <w:t>6</w:t>
      </w:r>
      <w:r w:rsidRPr="008F3AE0">
        <w:rPr>
          <w:b/>
          <w:i/>
        </w:rPr>
        <w:fldChar w:fldCharType="end"/>
      </w:r>
      <w:r w:rsidRPr="008F3AE0">
        <w:rPr>
          <w:b/>
        </w:rPr>
        <w:t>:</w:t>
      </w:r>
      <w:r w:rsidRPr="00A653FE">
        <w:t xml:space="preserve"> Počet úmrtí na choroby obehovej sústavy prepočítané na 100 000 obyvateľov</w:t>
      </w:r>
      <w:r>
        <w:t xml:space="preserve"> </w:t>
      </w:r>
      <w:r w:rsidR="00A653FE" w:rsidRPr="008672FB">
        <w:rPr>
          <w:i/>
        </w:rPr>
        <w:t>Zdroj: dáta Eurostat</w:t>
      </w:r>
      <w:bookmarkEnd w:id="53"/>
    </w:p>
    <w:p w14:paraId="45286321" w14:textId="679070AC" w:rsidR="00A653FE" w:rsidRDefault="00A653FE" w:rsidP="00A653FE"/>
    <w:p w14:paraId="669CA11A" w14:textId="77777777" w:rsidR="00A653FE" w:rsidRPr="008672FB" w:rsidRDefault="00A653FE" w:rsidP="00A653FE">
      <w:r w:rsidRPr="008672FB">
        <w:rPr>
          <w:noProof/>
          <w:lang w:val="cs-CZ" w:eastAsia="cs-CZ"/>
        </w:rPr>
        <w:drawing>
          <wp:inline distT="0" distB="0" distL="0" distR="0" wp14:anchorId="4877630C" wp14:editId="5B2D9AB5">
            <wp:extent cx="5762625" cy="3381375"/>
            <wp:effectExtent l="0" t="0" r="9525" b="9525"/>
            <wp:docPr id="62" name="Graf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1DD4F65" w14:textId="025D9DCB" w:rsidR="00A653FE" w:rsidRDefault="00B72FA9" w:rsidP="00A653FE">
      <w:pPr>
        <w:rPr>
          <w:i/>
        </w:rPr>
      </w:pPr>
      <w:bookmarkStart w:id="54" w:name="_Toc500705962"/>
      <w:r w:rsidRPr="008F3AE0">
        <w:rPr>
          <w:b/>
        </w:rPr>
        <w:t xml:space="preserve">Graf </w:t>
      </w:r>
      <w:r w:rsidRPr="008F3AE0">
        <w:rPr>
          <w:b/>
          <w:i/>
        </w:rPr>
        <w:fldChar w:fldCharType="begin"/>
      </w:r>
      <w:r w:rsidRPr="008F3AE0">
        <w:rPr>
          <w:b/>
        </w:rPr>
        <w:instrText xml:space="preserve"> SEQ Graf \* ARABIC </w:instrText>
      </w:r>
      <w:r w:rsidRPr="008F3AE0">
        <w:rPr>
          <w:b/>
          <w:i/>
        </w:rPr>
        <w:fldChar w:fldCharType="separate"/>
      </w:r>
      <w:r>
        <w:rPr>
          <w:b/>
          <w:noProof/>
        </w:rPr>
        <w:t>7</w:t>
      </w:r>
      <w:r w:rsidRPr="008F3AE0">
        <w:rPr>
          <w:b/>
          <w:i/>
        </w:rPr>
        <w:fldChar w:fldCharType="end"/>
      </w:r>
      <w:r w:rsidRPr="008F3AE0">
        <w:rPr>
          <w:b/>
        </w:rPr>
        <w:t>:</w:t>
      </w:r>
      <w:r w:rsidRPr="00A653FE">
        <w:t xml:space="preserve"> Počet úmrtí na nádorové ochorenia prepočítané na 100 000 obyvateľov</w:t>
      </w:r>
      <w:r>
        <w:t xml:space="preserve">. </w:t>
      </w:r>
      <w:r w:rsidR="00A653FE" w:rsidRPr="008672FB">
        <w:rPr>
          <w:i/>
        </w:rPr>
        <w:t>Zdroj: dáta Eurostat</w:t>
      </w:r>
      <w:bookmarkEnd w:id="54"/>
    </w:p>
    <w:p w14:paraId="3BC754BB" w14:textId="13C38A20" w:rsidR="00A653FE" w:rsidRDefault="00A653FE" w:rsidP="00A653FE"/>
    <w:p w14:paraId="690A6C63" w14:textId="77C67B52" w:rsidR="00A653FE" w:rsidRDefault="00A653FE" w:rsidP="00A653FE">
      <w:pPr>
        <w:keepNext/>
        <w:keepLines/>
      </w:pPr>
      <w:bookmarkStart w:id="55" w:name="_Toc499009948"/>
      <w:bookmarkStart w:id="56" w:name="_Toc500705973"/>
      <w:r w:rsidRPr="00E91833">
        <w:rPr>
          <w:b/>
        </w:rPr>
        <w:lastRenderedPageBreak/>
        <w:t xml:space="preserve">Tabuľka </w:t>
      </w:r>
      <w:r w:rsidRPr="00E91833">
        <w:rPr>
          <w:i/>
        </w:rPr>
        <w:fldChar w:fldCharType="begin"/>
      </w:r>
      <w:r w:rsidRPr="00E91833">
        <w:rPr>
          <w:b/>
        </w:rPr>
        <w:instrText xml:space="preserve"> SEQ Tabuľka \* ARABIC </w:instrText>
      </w:r>
      <w:r w:rsidRPr="00E91833">
        <w:rPr>
          <w:i/>
        </w:rPr>
        <w:fldChar w:fldCharType="separate"/>
      </w:r>
      <w:r>
        <w:rPr>
          <w:b/>
          <w:noProof/>
        </w:rPr>
        <w:t>4</w:t>
      </w:r>
      <w:r w:rsidRPr="00E91833">
        <w:rPr>
          <w:i/>
        </w:rPr>
        <w:fldChar w:fldCharType="end"/>
      </w:r>
      <w:r w:rsidRPr="00E91833">
        <w:rPr>
          <w:b/>
        </w:rPr>
        <w:t>:</w:t>
      </w:r>
      <w:r w:rsidRPr="00E91833">
        <w:t xml:space="preserve"> </w:t>
      </w:r>
      <w:r w:rsidRPr="00650C2C">
        <w:t>Stredná dĺžka života pri narodení, v rokoch, na základe priemeru troch rokov, podľa NUTS 3, v rokoch 2007-2015.</w:t>
      </w:r>
      <w:bookmarkEnd w:id="55"/>
      <w:bookmarkEnd w:id="56"/>
    </w:p>
    <w:tbl>
      <w:tblPr>
        <w:tblStyle w:val="Mkatabulky"/>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21"/>
        <w:gridCol w:w="1864"/>
        <w:gridCol w:w="1612"/>
        <w:gridCol w:w="1864"/>
        <w:gridCol w:w="1729"/>
      </w:tblGrid>
      <w:tr w:rsidR="00A653FE" w:rsidRPr="00650C2C" w14:paraId="6E911BCD" w14:textId="77777777" w:rsidTr="009E5A1B">
        <w:tc>
          <w:tcPr>
            <w:tcW w:w="1924" w:type="dxa"/>
            <w:vMerge w:val="restart"/>
            <w:tcBorders>
              <w:top w:val="double" w:sz="4" w:space="0" w:color="auto"/>
              <w:bottom w:val="nil"/>
              <w:right w:val="single" w:sz="4" w:space="0" w:color="auto"/>
            </w:tcBorders>
            <w:shd w:val="clear" w:color="auto" w:fill="auto"/>
            <w:vAlign w:val="center"/>
          </w:tcPr>
          <w:p w14:paraId="4FED1131" w14:textId="77777777" w:rsidR="00A653FE" w:rsidRPr="00650C2C" w:rsidRDefault="00A653FE" w:rsidP="009E5A1B">
            <w:pPr>
              <w:pStyle w:val="Table2"/>
              <w:rPr>
                <w:b/>
              </w:rPr>
            </w:pPr>
            <w:r w:rsidRPr="00650C2C">
              <w:rPr>
                <w:b/>
              </w:rPr>
              <w:t>NUTS 3</w:t>
            </w:r>
          </w:p>
        </w:tc>
        <w:tc>
          <w:tcPr>
            <w:tcW w:w="348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4B96EF9" w14:textId="77777777" w:rsidR="00A653FE" w:rsidRPr="00650C2C" w:rsidRDefault="00A653FE" w:rsidP="009E5A1B">
            <w:pPr>
              <w:pStyle w:val="Table2"/>
              <w:jc w:val="center"/>
              <w:rPr>
                <w:b/>
              </w:rPr>
            </w:pPr>
            <w:r w:rsidRPr="00650C2C">
              <w:rPr>
                <w:b/>
              </w:rPr>
              <w:t>2006-2008</w:t>
            </w:r>
          </w:p>
        </w:tc>
        <w:tc>
          <w:tcPr>
            <w:tcW w:w="3605" w:type="dxa"/>
            <w:gridSpan w:val="2"/>
            <w:tcBorders>
              <w:top w:val="double" w:sz="4" w:space="0" w:color="auto"/>
              <w:left w:val="single" w:sz="4" w:space="0" w:color="auto"/>
              <w:bottom w:val="single" w:sz="4" w:space="0" w:color="auto"/>
            </w:tcBorders>
            <w:shd w:val="clear" w:color="auto" w:fill="auto"/>
            <w:vAlign w:val="center"/>
          </w:tcPr>
          <w:p w14:paraId="68E32F0E" w14:textId="77777777" w:rsidR="00A653FE" w:rsidRPr="00650C2C" w:rsidRDefault="00A653FE" w:rsidP="009E5A1B">
            <w:pPr>
              <w:pStyle w:val="Table2"/>
              <w:jc w:val="center"/>
              <w:rPr>
                <w:b/>
              </w:rPr>
            </w:pPr>
            <w:r w:rsidRPr="00650C2C">
              <w:rPr>
                <w:b/>
              </w:rPr>
              <w:t>2014-2016</w:t>
            </w:r>
          </w:p>
        </w:tc>
      </w:tr>
      <w:tr w:rsidR="00A653FE" w:rsidRPr="002F603D" w14:paraId="2DDB083B" w14:textId="77777777" w:rsidTr="009E5A1B">
        <w:tc>
          <w:tcPr>
            <w:tcW w:w="1924" w:type="dxa"/>
            <w:vMerge/>
            <w:tcBorders>
              <w:top w:val="nil"/>
              <w:bottom w:val="single" w:sz="4" w:space="0" w:color="auto"/>
              <w:right w:val="single" w:sz="4" w:space="0" w:color="auto"/>
            </w:tcBorders>
            <w:shd w:val="clear" w:color="auto" w:fill="auto"/>
            <w:vAlign w:val="center"/>
          </w:tcPr>
          <w:p w14:paraId="4FE48101" w14:textId="77777777" w:rsidR="00A653FE" w:rsidRPr="002F603D" w:rsidRDefault="00A653FE" w:rsidP="009E5A1B">
            <w:pPr>
              <w:pStyle w:val="Table2"/>
            </w:pPr>
          </w:p>
        </w:tc>
        <w:tc>
          <w:tcPr>
            <w:tcW w:w="1870" w:type="dxa"/>
            <w:tcBorders>
              <w:top w:val="single" w:sz="4" w:space="0" w:color="auto"/>
              <w:left w:val="single" w:sz="4" w:space="0" w:color="auto"/>
              <w:bottom w:val="single" w:sz="4" w:space="0" w:color="auto"/>
            </w:tcBorders>
            <w:shd w:val="clear" w:color="auto" w:fill="auto"/>
            <w:vAlign w:val="center"/>
          </w:tcPr>
          <w:p w14:paraId="0C35F52F" w14:textId="77777777" w:rsidR="00A653FE" w:rsidRPr="00092A0F" w:rsidRDefault="00A653FE" w:rsidP="009E5A1B">
            <w:pPr>
              <w:pStyle w:val="Table2"/>
              <w:jc w:val="center"/>
              <w:rPr>
                <w:b/>
              </w:rPr>
            </w:pPr>
            <w:r w:rsidRPr="00092A0F">
              <w:rPr>
                <w:b/>
              </w:rPr>
              <w:t>muži</w:t>
            </w:r>
          </w:p>
        </w:tc>
        <w:tc>
          <w:tcPr>
            <w:tcW w:w="1617" w:type="dxa"/>
            <w:tcBorders>
              <w:top w:val="single" w:sz="4" w:space="0" w:color="auto"/>
              <w:bottom w:val="single" w:sz="4" w:space="0" w:color="auto"/>
              <w:right w:val="single" w:sz="4" w:space="0" w:color="auto"/>
            </w:tcBorders>
            <w:shd w:val="clear" w:color="auto" w:fill="auto"/>
            <w:vAlign w:val="center"/>
          </w:tcPr>
          <w:p w14:paraId="0D0BBC2E" w14:textId="77777777" w:rsidR="00A653FE" w:rsidRPr="00092A0F" w:rsidRDefault="00A653FE" w:rsidP="009E5A1B">
            <w:pPr>
              <w:pStyle w:val="Table2"/>
              <w:jc w:val="center"/>
              <w:rPr>
                <w:b/>
              </w:rPr>
            </w:pPr>
            <w:r w:rsidRPr="00092A0F">
              <w:rPr>
                <w:b/>
              </w:rPr>
              <w:t>ženy</w:t>
            </w:r>
          </w:p>
        </w:tc>
        <w:tc>
          <w:tcPr>
            <w:tcW w:w="1870" w:type="dxa"/>
            <w:tcBorders>
              <w:top w:val="single" w:sz="4" w:space="0" w:color="auto"/>
              <w:left w:val="single" w:sz="4" w:space="0" w:color="auto"/>
              <w:bottom w:val="single" w:sz="4" w:space="0" w:color="auto"/>
            </w:tcBorders>
            <w:shd w:val="clear" w:color="auto" w:fill="auto"/>
            <w:vAlign w:val="center"/>
          </w:tcPr>
          <w:p w14:paraId="163EFBB8" w14:textId="77777777" w:rsidR="00A653FE" w:rsidRPr="00092A0F" w:rsidRDefault="00A653FE" w:rsidP="009E5A1B">
            <w:pPr>
              <w:pStyle w:val="Table2"/>
              <w:jc w:val="center"/>
              <w:rPr>
                <w:b/>
              </w:rPr>
            </w:pPr>
            <w:r w:rsidRPr="00092A0F">
              <w:rPr>
                <w:b/>
              </w:rPr>
              <w:t>muži</w:t>
            </w:r>
          </w:p>
        </w:tc>
        <w:tc>
          <w:tcPr>
            <w:tcW w:w="1735" w:type="dxa"/>
            <w:tcBorders>
              <w:top w:val="single" w:sz="4" w:space="0" w:color="auto"/>
              <w:bottom w:val="single" w:sz="4" w:space="0" w:color="auto"/>
            </w:tcBorders>
            <w:shd w:val="clear" w:color="auto" w:fill="auto"/>
            <w:vAlign w:val="center"/>
          </w:tcPr>
          <w:p w14:paraId="094B6E81" w14:textId="77777777" w:rsidR="00A653FE" w:rsidRPr="00092A0F" w:rsidRDefault="00A653FE" w:rsidP="009E5A1B">
            <w:pPr>
              <w:pStyle w:val="Table2"/>
              <w:jc w:val="center"/>
              <w:rPr>
                <w:b/>
              </w:rPr>
            </w:pPr>
            <w:r w:rsidRPr="00092A0F">
              <w:rPr>
                <w:b/>
              </w:rPr>
              <w:t>ženy</w:t>
            </w:r>
          </w:p>
        </w:tc>
      </w:tr>
      <w:tr w:rsidR="00A653FE" w:rsidRPr="002F603D" w14:paraId="02C2A322" w14:textId="77777777" w:rsidTr="009E5A1B">
        <w:tc>
          <w:tcPr>
            <w:tcW w:w="1924" w:type="dxa"/>
            <w:tcBorders>
              <w:top w:val="single" w:sz="4" w:space="0" w:color="auto"/>
              <w:right w:val="single" w:sz="4" w:space="0" w:color="auto"/>
            </w:tcBorders>
            <w:shd w:val="clear" w:color="auto" w:fill="auto"/>
            <w:vAlign w:val="bottom"/>
          </w:tcPr>
          <w:p w14:paraId="46D79035" w14:textId="77777777" w:rsidR="00A653FE" w:rsidRPr="002F603D" w:rsidRDefault="00A653FE" w:rsidP="009E5A1B">
            <w:pPr>
              <w:pStyle w:val="Table2"/>
            </w:pPr>
            <w:r w:rsidRPr="00E760A3">
              <w:rPr>
                <w:color w:val="000000" w:themeColor="text1"/>
              </w:rPr>
              <w:t>Trnavský kraj</w:t>
            </w:r>
          </w:p>
        </w:tc>
        <w:tc>
          <w:tcPr>
            <w:tcW w:w="1870" w:type="dxa"/>
            <w:tcBorders>
              <w:top w:val="single" w:sz="4" w:space="0" w:color="auto"/>
              <w:left w:val="single" w:sz="4" w:space="0" w:color="auto"/>
              <w:bottom w:val="nil"/>
            </w:tcBorders>
            <w:shd w:val="clear" w:color="auto" w:fill="auto"/>
            <w:vAlign w:val="center"/>
          </w:tcPr>
          <w:p w14:paraId="56C413C0" w14:textId="77777777" w:rsidR="00A653FE" w:rsidRPr="002F603D" w:rsidRDefault="00A653FE" w:rsidP="009E5A1B">
            <w:pPr>
              <w:pStyle w:val="Table2"/>
              <w:jc w:val="center"/>
            </w:pPr>
            <w:r w:rsidRPr="002F603D">
              <w:t>70,96</w:t>
            </w:r>
          </w:p>
        </w:tc>
        <w:tc>
          <w:tcPr>
            <w:tcW w:w="1617" w:type="dxa"/>
            <w:tcBorders>
              <w:top w:val="single" w:sz="4" w:space="0" w:color="auto"/>
              <w:bottom w:val="nil"/>
              <w:right w:val="single" w:sz="4" w:space="0" w:color="auto"/>
            </w:tcBorders>
            <w:shd w:val="clear" w:color="auto" w:fill="auto"/>
            <w:vAlign w:val="center"/>
          </w:tcPr>
          <w:p w14:paraId="3B368611" w14:textId="77777777" w:rsidR="00A653FE" w:rsidRPr="002F603D" w:rsidRDefault="00A653FE" w:rsidP="009E5A1B">
            <w:pPr>
              <w:pStyle w:val="Table2"/>
              <w:jc w:val="center"/>
            </w:pPr>
            <w:r w:rsidRPr="002F603D">
              <w:t>78,62</w:t>
            </w:r>
          </w:p>
        </w:tc>
        <w:tc>
          <w:tcPr>
            <w:tcW w:w="1870" w:type="dxa"/>
            <w:tcBorders>
              <w:top w:val="single" w:sz="4" w:space="0" w:color="auto"/>
              <w:left w:val="single" w:sz="4" w:space="0" w:color="auto"/>
            </w:tcBorders>
            <w:shd w:val="clear" w:color="auto" w:fill="auto"/>
            <w:vAlign w:val="center"/>
          </w:tcPr>
          <w:p w14:paraId="35C2016F" w14:textId="77777777" w:rsidR="00A653FE" w:rsidRPr="002F603D" w:rsidRDefault="00A653FE" w:rsidP="009E5A1B">
            <w:pPr>
              <w:pStyle w:val="Table2"/>
              <w:jc w:val="center"/>
            </w:pPr>
            <w:r w:rsidRPr="002F603D">
              <w:t>73,66</w:t>
            </w:r>
          </w:p>
        </w:tc>
        <w:tc>
          <w:tcPr>
            <w:tcW w:w="1735" w:type="dxa"/>
            <w:tcBorders>
              <w:top w:val="single" w:sz="4" w:space="0" w:color="auto"/>
            </w:tcBorders>
            <w:shd w:val="clear" w:color="auto" w:fill="auto"/>
            <w:vAlign w:val="center"/>
          </w:tcPr>
          <w:p w14:paraId="6EBDCF32" w14:textId="77777777" w:rsidR="00A653FE" w:rsidRPr="002F603D" w:rsidRDefault="00A653FE" w:rsidP="009E5A1B">
            <w:pPr>
              <w:pStyle w:val="Table2"/>
              <w:jc w:val="center"/>
            </w:pPr>
            <w:r w:rsidRPr="002F603D">
              <w:t>80,32</w:t>
            </w:r>
          </w:p>
        </w:tc>
      </w:tr>
      <w:tr w:rsidR="00A653FE" w:rsidRPr="002F603D" w14:paraId="1598DE84" w14:textId="77777777" w:rsidTr="009E5A1B">
        <w:tc>
          <w:tcPr>
            <w:tcW w:w="1924" w:type="dxa"/>
            <w:tcBorders>
              <w:right w:val="single" w:sz="4" w:space="0" w:color="auto"/>
            </w:tcBorders>
            <w:shd w:val="clear" w:color="auto" w:fill="auto"/>
            <w:vAlign w:val="bottom"/>
          </w:tcPr>
          <w:p w14:paraId="7FF90D77" w14:textId="77777777" w:rsidR="00A653FE" w:rsidRPr="002F603D" w:rsidRDefault="00A653FE" w:rsidP="009E5A1B">
            <w:pPr>
              <w:pStyle w:val="Table2"/>
            </w:pPr>
            <w:r w:rsidRPr="00E760A3">
              <w:rPr>
                <w:color w:val="000000" w:themeColor="text1"/>
              </w:rPr>
              <w:t>Trenčiansky kraj</w:t>
            </w:r>
          </w:p>
        </w:tc>
        <w:tc>
          <w:tcPr>
            <w:tcW w:w="1870" w:type="dxa"/>
            <w:tcBorders>
              <w:top w:val="nil"/>
              <w:left w:val="single" w:sz="4" w:space="0" w:color="auto"/>
              <w:bottom w:val="nil"/>
            </w:tcBorders>
            <w:shd w:val="clear" w:color="auto" w:fill="auto"/>
            <w:vAlign w:val="center"/>
          </w:tcPr>
          <w:p w14:paraId="10867E54" w14:textId="77777777" w:rsidR="00A653FE" w:rsidRPr="002F603D" w:rsidRDefault="00A653FE" w:rsidP="009E5A1B">
            <w:pPr>
              <w:pStyle w:val="Table2"/>
              <w:jc w:val="center"/>
            </w:pPr>
            <w:r w:rsidRPr="002F603D">
              <w:t>71,78</w:t>
            </w:r>
          </w:p>
        </w:tc>
        <w:tc>
          <w:tcPr>
            <w:tcW w:w="1617" w:type="dxa"/>
            <w:tcBorders>
              <w:top w:val="nil"/>
              <w:bottom w:val="nil"/>
              <w:right w:val="single" w:sz="4" w:space="0" w:color="auto"/>
            </w:tcBorders>
            <w:shd w:val="clear" w:color="auto" w:fill="auto"/>
            <w:vAlign w:val="center"/>
          </w:tcPr>
          <w:p w14:paraId="12A91CE2" w14:textId="77777777" w:rsidR="00A653FE" w:rsidRPr="002F603D" w:rsidRDefault="00A653FE" w:rsidP="009E5A1B">
            <w:pPr>
              <w:pStyle w:val="Table2"/>
              <w:jc w:val="center"/>
            </w:pPr>
            <w:r w:rsidRPr="002F603D">
              <w:t>79,39</w:t>
            </w:r>
          </w:p>
        </w:tc>
        <w:tc>
          <w:tcPr>
            <w:tcW w:w="1870" w:type="dxa"/>
            <w:tcBorders>
              <w:left w:val="single" w:sz="4" w:space="0" w:color="auto"/>
            </w:tcBorders>
            <w:shd w:val="clear" w:color="auto" w:fill="auto"/>
            <w:vAlign w:val="center"/>
          </w:tcPr>
          <w:p w14:paraId="7CC5BEB3" w14:textId="77777777" w:rsidR="00A653FE" w:rsidRPr="002F603D" w:rsidRDefault="00A653FE" w:rsidP="009E5A1B">
            <w:pPr>
              <w:pStyle w:val="Table2"/>
              <w:jc w:val="center"/>
            </w:pPr>
            <w:r w:rsidRPr="002F603D">
              <w:t>74,55</w:t>
            </w:r>
          </w:p>
        </w:tc>
        <w:tc>
          <w:tcPr>
            <w:tcW w:w="1735" w:type="dxa"/>
            <w:shd w:val="clear" w:color="auto" w:fill="auto"/>
            <w:vAlign w:val="center"/>
          </w:tcPr>
          <w:p w14:paraId="4931C67F" w14:textId="77777777" w:rsidR="00A653FE" w:rsidRPr="002F603D" w:rsidRDefault="00A653FE" w:rsidP="009E5A1B">
            <w:pPr>
              <w:pStyle w:val="Table2"/>
              <w:jc w:val="center"/>
            </w:pPr>
            <w:r w:rsidRPr="002F603D">
              <w:t>81,42</w:t>
            </w:r>
          </w:p>
        </w:tc>
      </w:tr>
      <w:tr w:rsidR="00A653FE" w:rsidRPr="002F603D" w14:paraId="7B56159F" w14:textId="77777777" w:rsidTr="009E5A1B">
        <w:tc>
          <w:tcPr>
            <w:tcW w:w="1924" w:type="dxa"/>
            <w:tcBorders>
              <w:right w:val="single" w:sz="4" w:space="0" w:color="auto"/>
            </w:tcBorders>
            <w:shd w:val="clear" w:color="auto" w:fill="auto"/>
            <w:vAlign w:val="bottom"/>
          </w:tcPr>
          <w:p w14:paraId="249D2268" w14:textId="77777777" w:rsidR="00A653FE" w:rsidRPr="002F603D" w:rsidRDefault="00A653FE" w:rsidP="009E5A1B">
            <w:pPr>
              <w:pStyle w:val="Table2"/>
            </w:pPr>
            <w:r w:rsidRPr="00E760A3">
              <w:rPr>
                <w:color w:val="000000" w:themeColor="text1"/>
              </w:rPr>
              <w:t>Nitriansky kraj</w:t>
            </w:r>
          </w:p>
        </w:tc>
        <w:tc>
          <w:tcPr>
            <w:tcW w:w="1870" w:type="dxa"/>
            <w:tcBorders>
              <w:top w:val="nil"/>
              <w:left w:val="single" w:sz="4" w:space="0" w:color="auto"/>
              <w:bottom w:val="nil"/>
            </w:tcBorders>
            <w:shd w:val="clear" w:color="auto" w:fill="auto"/>
            <w:vAlign w:val="center"/>
          </w:tcPr>
          <w:p w14:paraId="3B3DA8F4" w14:textId="77777777" w:rsidR="00A653FE" w:rsidRPr="002F603D" w:rsidRDefault="00A653FE" w:rsidP="009E5A1B">
            <w:pPr>
              <w:pStyle w:val="Table2"/>
              <w:jc w:val="center"/>
            </w:pPr>
            <w:r w:rsidRPr="002F603D">
              <w:t>70,06</w:t>
            </w:r>
          </w:p>
        </w:tc>
        <w:tc>
          <w:tcPr>
            <w:tcW w:w="1617" w:type="dxa"/>
            <w:tcBorders>
              <w:top w:val="nil"/>
              <w:bottom w:val="nil"/>
              <w:right w:val="single" w:sz="4" w:space="0" w:color="auto"/>
            </w:tcBorders>
            <w:shd w:val="clear" w:color="auto" w:fill="auto"/>
            <w:vAlign w:val="center"/>
          </w:tcPr>
          <w:p w14:paraId="478762D2" w14:textId="77777777" w:rsidR="00A653FE" w:rsidRPr="002F603D" w:rsidRDefault="00A653FE" w:rsidP="009E5A1B">
            <w:pPr>
              <w:pStyle w:val="Table2"/>
              <w:jc w:val="center"/>
            </w:pPr>
            <w:r w:rsidRPr="002F603D">
              <w:t>78,28</w:t>
            </w:r>
          </w:p>
        </w:tc>
        <w:tc>
          <w:tcPr>
            <w:tcW w:w="1870" w:type="dxa"/>
            <w:tcBorders>
              <w:left w:val="single" w:sz="4" w:space="0" w:color="auto"/>
            </w:tcBorders>
            <w:shd w:val="clear" w:color="auto" w:fill="auto"/>
            <w:vAlign w:val="center"/>
          </w:tcPr>
          <w:p w14:paraId="2FE6E563" w14:textId="77777777" w:rsidR="00A653FE" w:rsidRPr="002F603D" w:rsidRDefault="00A653FE" w:rsidP="009E5A1B">
            <w:pPr>
              <w:pStyle w:val="Table2"/>
              <w:jc w:val="center"/>
            </w:pPr>
            <w:r w:rsidRPr="002F603D">
              <w:t>72,62</w:t>
            </w:r>
          </w:p>
        </w:tc>
        <w:tc>
          <w:tcPr>
            <w:tcW w:w="1735" w:type="dxa"/>
            <w:shd w:val="clear" w:color="auto" w:fill="auto"/>
            <w:vAlign w:val="center"/>
          </w:tcPr>
          <w:p w14:paraId="47FACB4D" w14:textId="77777777" w:rsidR="00A653FE" w:rsidRPr="002F603D" w:rsidRDefault="00A653FE" w:rsidP="009E5A1B">
            <w:pPr>
              <w:pStyle w:val="Table2"/>
              <w:jc w:val="center"/>
            </w:pPr>
            <w:r w:rsidRPr="002F603D">
              <w:t>79,77</w:t>
            </w:r>
          </w:p>
        </w:tc>
      </w:tr>
      <w:tr w:rsidR="00A653FE" w:rsidRPr="002F603D" w14:paraId="551FD5E4" w14:textId="77777777" w:rsidTr="009E5A1B">
        <w:tc>
          <w:tcPr>
            <w:tcW w:w="1924" w:type="dxa"/>
            <w:tcBorders>
              <w:right w:val="single" w:sz="4" w:space="0" w:color="auto"/>
            </w:tcBorders>
            <w:vAlign w:val="bottom"/>
          </w:tcPr>
          <w:p w14:paraId="30886DFF" w14:textId="77777777" w:rsidR="00A653FE" w:rsidRPr="002F603D" w:rsidRDefault="00A653FE" w:rsidP="009E5A1B">
            <w:pPr>
              <w:pStyle w:val="Table2"/>
            </w:pPr>
            <w:r w:rsidRPr="00E760A3">
              <w:rPr>
                <w:color w:val="000000" w:themeColor="text1"/>
              </w:rPr>
              <w:t>Žilinský kraj</w:t>
            </w:r>
          </w:p>
        </w:tc>
        <w:tc>
          <w:tcPr>
            <w:tcW w:w="1870" w:type="dxa"/>
            <w:tcBorders>
              <w:top w:val="nil"/>
              <w:left w:val="single" w:sz="4" w:space="0" w:color="auto"/>
              <w:bottom w:val="nil"/>
            </w:tcBorders>
            <w:vAlign w:val="center"/>
          </w:tcPr>
          <w:p w14:paraId="7CF0A593" w14:textId="77777777" w:rsidR="00A653FE" w:rsidRPr="002F603D" w:rsidRDefault="00A653FE" w:rsidP="009E5A1B">
            <w:pPr>
              <w:pStyle w:val="Table2"/>
              <w:jc w:val="center"/>
            </w:pPr>
            <w:r w:rsidRPr="002F603D">
              <w:t>70,12</w:t>
            </w:r>
          </w:p>
        </w:tc>
        <w:tc>
          <w:tcPr>
            <w:tcW w:w="1617" w:type="dxa"/>
            <w:tcBorders>
              <w:top w:val="nil"/>
              <w:bottom w:val="nil"/>
              <w:right w:val="single" w:sz="4" w:space="0" w:color="auto"/>
            </w:tcBorders>
            <w:vAlign w:val="center"/>
          </w:tcPr>
          <w:p w14:paraId="370D05B8" w14:textId="77777777" w:rsidR="00A653FE" w:rsidRPr="002F603D" w:rsidRDefault="00A653FE" w:rsidP="009E5A1B">
            <w:pPr>
              <w:pStyle w:val="Table2"/>
              <w:jc w:val="center"/>
            </w:pPr>
            <w:r w:rsidRPr="002F603D">
              <w:t>78,82</w:t>
            </w:r>
          </w:p>
        </w:tc>
        <w:tc>
          <w:tcPr>
            <w:tcW w:w="1870" w:type="dxa"/>
            <w:tcBorders>
              <w:left w:val="single" w:sz="4" w:space="0" w:color="auto"/>
            </w:tcBorders>
            <w:vAlign w:val="center"/>
          </w:tcPr>
          <w:p w14:paraId="09A12D80" w14:textId="77777777" w:rsidR="00A653FE" w:rsidRPr="002F603D" w:rsidRDefault="00A653FE" w:rsidP="009E5A1B">
            <w:pPr>
              <w:pStyle w:val="Table2"/>
              <w:jc w:val="center"/>
            </w:pPr>
            <w:r w:rsidRPr="002F603D">
              <w:t>72,94</w:t>
            </w:r>
          </w:p>
        </w:tc>
        <w:tc>
          <w:tcPr>
            <w:tcW w:w="1735" w:type="dxa"/>
            <w:vAlign w:val="center"/>
          </w:tcPr>
          <w:p w14:paraId="075B502F" w14:textId="77777777" w:rsidR="00A653FE" w:rsidRPr="002F603D" w:rsidRDefault="00A653FE" w:rsidP="009E5A1B">
            <w:pPr>
              <w:pStyle w:val="Table2"/>
              <w:jc w:val="center"/>
            </w:pPr>
            <w:r w:rsidRPr="002F603D">
              <w:t>80,91</w:t>
            </w:r>
          </w:p>
        </w:tc>
      </w:tr>
      <w:tr w:rsidR="00A653FE" w:rsidRPr="002F603D" w14:paraId="1CF63306" w14:textId="77777777" w:rsidTr="009E5A1B">
        <w:tc>
          <w:tcPr>
            <w:tcW w:w="1924" w:type="dxa"/>
            <w:tcBorders>
              <w:right w:val="single" w:sz="4" w:space="0" w:color="auto"/>
            </w:tcBorders>
            <w:vAlign w:val="bottom"/>
          </w:tcPr>
          <w:p w14:paraId="415D7C39" w14:textId="77777777" w:rsidR="00A653FE" w:rsidRPr="002F603D" w:rsidRDefault="00A653FE" w:rsidP="009E5A1B">
            <w:pPr>
              <w:pStyle w:val="Table2"/>
            </w:pPr>
            <w:r w:rsidRPr="00E760A3">
              <w:rPr>
                <w:color w:val="000000" w:themeColor="text1"/>
              </w:rPr>
              <w:t>Banskobystrický kraj</w:t>
            </w:r>
          </w:p>
        </w:tc>
        <w:tc>
          <w:tcPr>
            <w:tcW w:w="1870" w:type="dxa"/>
            <w:tcBorders>
              <w:top w:val="nil"/>
              <w:left w:val="single" w:sz="4" w:space="0" w:color="auto"/>
              <w:bottom w:val="nil"/>
            </w:tcBorders>
            <w:vAlign w:val="center"/>
          </w:tcPr>
          <w:p w14:paraId="3A735BDE" w14:textId="77777777" w:rsidR="00A653FE" w:rsidRPr="002F603D" w:rsidRDefault="00A653FE" w:rsidP="009E5A1B">
            <w:pPr>
              <w:pStyle w:val="Table2"/>
              <w:jc w:val="center"/>
            </w:pPr>
            <w:r w:rsidRPr="002F603D">
              <w:t>69,76</w:t>
            </w:r>
          </w:p>
        </w:tc>
        <w:tc>
          <w:tcPr>
            <w:tcW w:w="1617" w:type="dxa"/>
            <w:tcBorders>
              <w:top w:val="nil"/>
              <w:bottom w:val="nil"/>
              <w:right w:val="single" w:sz="4" w:space="0" w:color="auto"/>
            </w:tcBorders>
            <w:vAlign w:val="center"/>
          </w:tcPr>
          <w:p w14:paraId="76982039" w14:textId="77777777" w:rsidR="00A653FE" w:rsidRPr="002F603D" w:rsidRDefault="00A653FE" w:rsidP="009E5A1B">
            <w:pPr>
              <w:pStyle w:val="Table2"/>
              <w:jc w:val="center"/>
              <w:rPr>
                <w:color w:val="000000"/>
              </w:rPr>
            </w:pPr>
            <w:r w:rsidRPr="002F603D">
              <w:rPr>
                <w:color w:val="000000"/>
              </w:rPr>
              <w:t>78,07</w:t>
            </w:r>
          </w:p>
        </w:tc>
        <w:tc>
          <w:tcPr>
            <w:tcW w:w="1870" w:type="dxa"/>
            <w:tcBorders>
              <w:left w:val="single" w:sz="4" w:space="0" w:color="auto"/>
            </w:tcBorders>
            <w:vAlign w:val="center"/>
          </w:tcPr>
          <w:p w14:paraId="45191CF9" w14:textId="77777777" w:rsidR="00A653FE" w:rsidRPr="002F603D" w:rsidRDefault="00A653FE" w:rsidP="009E5A1B">
            <w:pPr>
              <w:pStyle w:val="Table2"/>
              <w:jc w:val="center"/>
            </w:pPr>
            <w:r w:rsidRPr="002F603D">
              <w:rPr>
                <w:color w:val="000000"/>
              </w:rPr>
              <w:t>72,73</w:t>
            </w:r>
          </w:p>
        </w:tc>
        <w:tc>
          <w:tcPr>
            <w:tcW w:w="1735" w:type="dxa"/>
            <w:vAlign w:val="center"/>
          </w:tcPr>
          <w:p w14:paraId="6F795671" w14:textId="77777777" w:rsidR="00A653FE" w:rsidRPr="002F603D" w:rsidRDefault="00A653FE" w:rsidP="009E5A1B">
            <w:pPr>
              <w:pStyle w:val="Table2"/>
              <w:jc w:val="center"/>
              <w:rPr>
                <w:color w:val="000000"/>
              </w:rPr>
            </w:pPr>
            <w:r w:rsidRPr="002F603D">
              <w:rPr>
                <w:color w:val="000000"/>
              </w:rPr>
              <w:t>80,20</w:t>
            </w:r>
          </w:p>
        </w:tc>
      </w:tr>
      <w:tr w:rsidR="00A653FE" w:rsidRPr="002F603D" w14:paraId="58A50F7C" w14:textId="77777777" w:rsidTr="009E5A1B">
        <w:tc>
          <w:tcPr>
            <w:tcW w:w="1924" w:type="dxa"/>
            <w:tcBorders>
              <w:right w:val="single" w:sz="4" w:space="0" w:color="auto"/>
            </w:tcBorders>
            <w:vAlign w:val="bottom"/>
          </w:tcPr>
          <w:p w14:paraId="2C103E54" w14:textId="77777777" w:rsidR="00A653FE" w:rsidRPr="002F603D" w:rsidRDefault="00A653FE" w:rsidP="009E5A1B">
            <w:pPr>
              <w:pStyle w:val="Table2"/>
            </w:pPr>
            <w:r w:rsidRPr="00E760A3">
              <w:rPr>
                <w:color w:val="000000" w:themeColor="text1"/>
              </w:rPr>
              <w:t>Prešovský kraj</w:t>
            </w:r>
          </w:p>
        </w:tc>
        <w:tc>
          <w:tcPr>
            <w:tcW w:w="1870" w:type="dxa"/>
            <w:tcBorders>
              <w:top w:val="nil"/>
              <w:left w:val="single" w:sz="4" w:space="0" w:color="auto"/>
              <w:bottom w:val="nil"/>
            </w:tcBorders>
            <w:vAlign w:val="center"/>
          </w:tcPr>
          <w:p w14:paraId="0633EB7E" w14:textId="77777777" w:rsidR="00A653FE" w:rsidRPr="002F603D" w:rsidRDefault="00A653FE" w:rsidP="009E5A1B">
            <w:pPr>
              <w:pStyle w:val="Table2"/>
              <w:jc w:val="center"/>
            </w:pPr>
            <w:r w:rsidRPr="002F603D">
              <w:t>70,74</w:t>
            </w:r>
          </w:p>
        </w:tc>
        <w:tc>
          <w:tcPr>
            <w:tcW w:w="1617" w:type="dxa"/>
            <w:tcBorders>
              <w:top w:val="nil"/>
              <w:bottom w:val="nil"/>
              <w:right w:val="single" w:sz="4" w:space="0" w:color="auto"/>
            </w:tcBorders>
            <w:vAlign w:val="center"/>
          </w:tcPr>
          <w:p w14:paraId="10DE057C" w14:textId="77777777" w:rsidR="00A653FE" w:rsidRPr="002F603D" w:rsidRDefault="00A653FE" w:rsidP="009E5A1B">
            <w:pPr>
              <w:pStyle w:val="Table2"/>
              <w:jc w:val="center"/>
            </w:pPr>
            <w:r w:rsidRPr="002F603D">
              <w:t>79,00</w:t>
            </w:r>
          </w:p>
        </w:tc>
        <w:tc>
          <w:tcPr>
            <w:tcW w:w="1870" w:type="dxa"/>
            <w:tcBorders>
              <w:left w:val="single" w:sz="4" w:space="0" w:color="auto"/>
            </w:tcBorders>
            <w:vAlign w:val="center"/>
          </w:tcPr>
          <w:p w14:paraId="30852F2E" w14:textId="77777777" w:rsidR="00A653FE" w:rsidRPr="002F603D" w:rsidRDefault="00A653FE" w:rsidP="009E5A1B">
            <w:pPr>
              <w:pStyle w:val="Table2"/>
              <w:jc w:val="center"/>
            </w:pPr>
            <w:r w:rsidRPr="002F603D">
              <w:t>73, 50</w:t>
            </w:r>
          </w:p>
        </w:tc>
        <w:tc>
          <w:tcPr>
            <w:tcW w:w="1735" w:type="dxa"/>
            <w:vAlign w:val="center"/>
          </w:tcPr>
          <w:p w14:paraId="006FB5FB" w14:textId="77777777" w:rsidR="00A653FE" w:rsidRPr="002F603D" w:rsidRDefault="00A653FE" w:rsidP="009E5A1B">
            <w:pPr>
              <w:pStyle w:val="Table2"/>
              <w:jc w:val="center"/>
            </w:pPr>
            <w:r w:rsidRPr="002F603D">
              <w:t>80,61</w:t>
            </w:r>
          </w:p>
        </w:tc>
      </w:tr>
      <w:tr w:rsidR="00A653FE" w:rsidRPr="002F603D" w14:paraId="4FDF04E0" w14:textId="77777777" w:rsidTr="009E5A1B">
        <w:tc>
          <w:tcPr>
            <w:tcW w:w="1924" w:type="dxa"/>
            <w:tcBorders>
              <w:right w:val="single" w:sz="4" w:space="0" w:color="auto"/>
            </w:tcBorders>
            <w:vAlign w:val="bottom"/>
          </w:tcPr>
          <w:p w14:paraId="4F4FF5D1" w14:textId="77777777" w:rsidR="00A653FE" w:rsidRPr="002F603D" w:rsidRDefault="00A653FE" w:rsidP="009E5A1B">
            <w:pPr>
              <w:pStyle w:val="Table2"/>
            </w:pPr>
            <w:r w:rsidRPr="00E760A3">
              <w:rPr>
                <w:color w:val="000000" w:themeColor="text1"/>
              </w:rPr>
              <w:t>Košický kraj</w:t>
            </w:r>
          </w:p>
        </w:tc>
        <w:tc>
          <w:tcPr>
            <w:tcW w:w="1870" w:type="dxa"/>
            <w:tcBorders>
              <w:top w:val="nil"/>
              <w:left w:val="single" w:sz="4" w:space="0" w:color="auto"/>
              <w:bottom w:val="double" w:sz="4" w:space="0" w:color="auto"/>
            </w:tcBorders>
            <w:vAlign w:val="center"/>
          </w:tcPr>
          <w:p w14:paraId="49963C33" w14:textId="77777777" w:rsidR="00A653FE" w:rsidRPr="002F603D" w:rsidRDefault="00A653FE" w:rsidP="009E5A1B">
            <w:pPr>
              <w:pStyle w:val="Table2"/>
              <w:jc w:val="center"/>
            </w:pPr>
            <w:r w:rsidRPr="002F603D">
              <w:t>69,67</w:t>
            </w:r>
          </w:p>
        </w:tc>
        <w:tc>
          <w:tcPr>
            <w:tcW w:w="1617" w:type="dxa"/>
            <w:tcBorders>
              <w:top w:val="nil"/>
              <w:bottom w:val="double" w:sz="4" w:space="0" w:color="auto"/>
              <w:right w:val="single" w:sz="4" w:space="0" w:color="auto"/>
            </w:tcBorders>
            <w:vAlign w:val="center"/>
          </w:tcPr>
          <w:p w14:paraId="2390523C" w14:textId="77777777" w:rsidR="00A653FE" w:rsidRPr="002F603D" w:rsidRDefault="00A653FE" w:rsidP="009E5A1B">
            <w:pPr>
              <w:pStyle w:val="Table2"/>
              <w:jc w:val="center"/>
            </w:pPr>
            <w:r w:rsidRPr="002F603D">
              <w:t>77,82</w:t>
            </w:r>
          </w:p>
        </w:tc>
        <w:tc>
          <w:tcPr>
            <w:tcW w:w="1870" w:type="dxa"/>
            <w:tcBorders>
              <w:left w:val="single" w:sz="4" w:space="0" w:color="auto"/>
            </w:tcBorders>
            <w:vAlign w:val="center"/>
          </w:tcPr>
          <w:p w14:paraId="72AF9C3D" w14:textId="77777777" w:rsidR="00A653FE" w:rsidRPr="002F603D" w:rsidRDefault="00A653FE" w:rsidP="009E5A1B">
            <w:pPr>
              <w:pStyle w:val="Table2"/>
              <w:jc w:val="center"/>
            </w:pPr>
            <w:r w:rsidRPr="002F603D">
              <w:t>72,85</w:t>
            </w:r>
          </w:p>
        </w:tc>
        <w:tc>
          <w:tcPr>
            <w:tcW w:w="1735" w:type="dxa"/>
            <w:vAlign w:val="center"/>
          </w:tcPr>
          <w:p w14:paraId="5609C532" w14:textId="77777777" w:rsidR="00A653FE" w:rsidRPr="002F603D" w:rsidRDefault="00A653FE" w:rsidP="009E5A1B">
            <w:pPr>
              <w:pStyle w:val="Table2"/>
              <w:jc w:val="center"/>
            </w:pPr>
            <w:r w:rsidRPr="002F603D">
              <w:t>79,84</w:t>
            </w:r>
          </w:p>
        </w:tc>
      </w:tr>
    </w:tbl>
    <w:p w14:paraId="39CAECED" w14:textId="77777777" w:rsidR="00A653FE" w:rsidRDefault="00A653FE" w:rsidP="00A653FE">
      <w:pPr>
        <w:pStyle w:val="TableFootnote"/>
      </w:pPr>
      <w:r w:rsidRPr="00650C2C">
        <w:t xml:space="preserve">Zdroj: </w:t>
      </w:r>
      <w:proofErr w:type="spellStart"/>
      <w:r w:rsidRPr="00650C2C">
        <w:t>Infostat</w:t>
      </w:r>
      <w:proofErr w:type="spellEnd"/>
      <w:r w:rsidRPr="00650C2C">
        <w:t>, 2017</w:t>
      </w:r>
    </w:p>
    <w:p w14:paraId="38F01AFD" w14:textId="77777777" w:rsidR="00A653FE" w:rsidRDefault="00A653FE" w:rsidP="00A653FE">
      <w:pPr>
        <w:spacing w:after="0"/>
        <w:jc w:val="left"/>
      </w:pPr>
    </w:p>
    <w:p w14:paraId="4C01FB3E" w14:textId="77777777" w:rsidR="00B07B0E" w:rsidRDefault="00B07B0E">
      <w:pPr>
        <w:spacing w:after="0"/>
        <w:jc w:val="left"/>
        <w:rPr>
          <w:rFonts w:ascii="Cambria" w:eastAsiaTheme="majorEastAsia" w:hAnsi="Cambria"/>
          <w:b/>
          <w:bCs w:val="0"/>
          <w:color w:val="1F4E79" w:themeColor="accent5" w:themeShade="80"/>
        </w:rPr>
      </w:pPr>
      <w:r>
        <w:br w:type="page"/>
      </w:r>
    </w:p>
    <w:p w14:paraId="78B386EB" w14:textId="5D34C1F7" w:rsidR="001E10E4" w:rsidRDefault="001E10E4" w:rsidP="00715F57">
      <w:pPr>
        <w:pStyle w:val="Nadpis3"/>
      </w:pPr>
      <w:bookmarkStart w:id="57" w:name="_Toc500706019"/>
      <w:r>
        <w:lastRenderedPageBreak/>
        <w:t>Príloha k téme 4</w:t>
      </w:r>
      <w:bookmarkEnd w:id="57"/>
    </w:p>
    <w:p w14:paraId="4848C385" w14:textId="77777777" w:rsidR="00B07B0E" w:rsidRPr="007A3E43" w:rsidRDefault="00B07B0E" w:rsidP="00B07B0E">
      <w:pPr>
        <w:rPr>
          <w:b/>
        </w:rPr>
      </w:pPr>
    </w:p>
    <w:p w14:paraId="4AC087D2" w14:textId="77777777" w:rsidR="00B07B0E" w:rsidRPr="007A3E43" w:rsidRDefault="00B07B0E" w:rsidP="00F77211">
      <w:pPr>
        <w:keepNext/>
        <w:keepLines/>
      </w:pPr>
      <w:r w:rsidRPr="007A3E43">
        <w:rPr>
          <w:noProof/>
          <w:lang w:val="cs-CZ" w:eastAsia="cs-CZ"/>
        </w:rPr>
        <w:drawing>
          <wp:inline distT="0" distB="0" distL="0" distR="0" wp14:anchorId="5B39CDD9" wp14:editId="45E41C1B">
            <wp:extent cx="5760720" cy="3562350"/>
            <wp:effectExtent l="0" t="0" r="11430" b="0"/>
            <wp:docPr id="17" name="Graf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572771A8" w14:textId="7FC0515A" w:rsidR="00B07B0E" w:rsidRPr="007A3E43" w:rsidRDefault="001A1BF8" w:rsidP="00F77211">
      <w:pPr>
        <w:keepNext/>
        <w:keepLines/>
        <w:rPr>
          <w:i/>
        </w:rPr>
      </w:pPr>
      <w:bookmarkStart w:id="58" w:name="_Toc500705963"/>
      <w:r w:rsidRPr="008F3AE0">
        <w:rPr>
          <w:b/>
        </w:rPr>
        <w:t xml:space="preserve">Graf </w:t>
      </w:r>
      <w:r w:rsidRPr="008F3AE0">
        <w:rPr>
          <w:b/>
          <w:i/>
        </w:rPr>
        <w:fldChar w:fldCharType="begin"/>
      </w:r>
      <w:r w:rsidRPr="008F3AE0">
        <w:rPr>
          <w:b/>
        </w:rPr>
        <w:instrText xml:space="preserve"> SEQ Graf \* ARABIC </w:instrText>
      </w:r>
      <w:r w:rsidRPr="008F3AE0">
        <w:rPr>
          <w:b/>
          <w:i/>
        </w:rPr>
        <w:fldChar w:fldCharType="separate"/>
      </w:r>
      <w:r w:rsidR="001D3773">
        <w:rPr>
          <w:b/>
          <w:noProof/>
        </w:rPr>
        <w:t>8</w:t>
      </w:r>
      <w:r w:rsidRPr="008F3AE0">
        <w:rPr>
          <w:b/>
          <w:i/>
        </w:rPr>
        <w:fldChar w:fldCharType="end"/>
      </w:r>
      <w:r w:rsidRPr="00B5351A">
        <w:rPr>
          <w:b/>
        </w:rPr>
        <w:t>:</w:t>
      </w:r>
      <w:r w:rsidRPr="00B5351A">
        <w:t xml:space="preserve"> </w:t>
      </w:r>
      <w:r w:rsidRPr="007A3E43">
        <w:t>Percentuálna zmena v emisiách skleníkových plynov krajín EÚ oproti roku 1990.</w:t>
      </w:r>
      <w:r>
        <w:t xml:space="preserve"> </w:t>
      </w:r>
      <w:r w:rsidR="00B07B0E" w:rsidRPr="007A3E43">
        <w:rPr>
          <w:i/>
        </w:rPr>
        <w:t xml:space="preserve">Zdroj: podľa dát </w:t>
      </w:r>
      <w:proofErr w:type="spellStart"/>
      <w:r w:rsidR="00B07B0E" w:rsidRPr="007A3E43">
        <w:rPr>
          <w:i/>
        </w:rPr>
        <w:t>Eurostatu</w:t>
      </w:r>
      <w:proofErr w:type="spellEnd"/>
      <w:r w:rsidR="00B07B0E" w:rsidRPr="007A3E43">
        <w:rPr>
          <w:i/>
        </w:rPr>
        <w:t>, 2017</w:t>
      </w:r>
      <w:bookmarkEnd w:id="58"/>
    </w:p>
    <w:p w14:paraId="1F40293A" w14:textId="77777777" w:rsidR="00B07B0E" w:rsidRPr="007A3E43" w:rsidRDefault="00B07B0E" w:rsidP="00B07B0E"/>
    <w:p w14:paraId="02B620E6" w14:textId="77777777" w:rsidR="00B07B0E" w:rsidRPr="007A3E43" w:rsidRDefault="00B07B0E" w:rsidP="00F77211">
      <w:pPr>
        <w:keepNext/>
        <w:keepLines/>
        <w:rPr>
          <w:b/>
        </w:rPr>
      </w:pPr>
      <w:r w:rsidRPr="007A3E43">
        <w:rPr>
          <w:b/>
          <w:noProof/>
          <w:lang w:val="cs-CZ" w:eastAsia="cs-CZ"/>
        </w:rPr>
        <w:drawing>
          <wp:inline distT="0" distB="0" distL="0" distR="0" wp14:anchorId="778A050E" wp14:editId="38451526">
            <wp:extent cx="57912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13D6E92" w14:textId="728A7032" w:rsidR="00B07B0E" w:rsidRPr="00B72FA9" w:rsidRDefault="001A1BF8" w:rsidP="00B72FA9">
      <w:pPr>
        <w:keepNext/>
        <w:keepLines/>
      </w:pPr>
      <w:bookmarkStart w:id="59" w:name="_Toc500705964"/>
      <w:r w:rsidRPr="001A1BF8">
        <w:rPr>
          <w:b/>
        </w:rPr>
        <w:t xml:space="preserve">Graf </w:t>
      </w:r>
      <w:r w:rsidRPr="001A1BF8">
        <w:rPr>
          <w:b/>
          <w:i/>
        </w:rPr>
        <w:fldChar w:fldCharType="begin"/>
      </w:r>
      <w:r w:rsidRPr="001A1BF8">
        <w:rPr>
          <w:b/>
        </w:rPr>
        <w:instrText xml:space="preserve"> SEQ Graf \* ARABIC </w:instrText>
      </w:r>
      <w:r w:rsidRPr="001A1BF8">
        <w:rPr>
          <w:b/>
          <w:i/>
        </w:rPr>
        <w:fldChar w:fldCharType="separate"/>
      </w:r>
      <w:r w:rsidR="00B72FA9">
        <w:rPr>
          <w:b/>
          <w:noProof/>
        </w:rPr>
        <w:t>9</w:t>
      </w:r>
      <w:r w:rsidRPr="001A1BF8">
        <w:rPr>
          <w:b/>
          <w:i/>
        </w:rPr>
        <w:fldChar w:fldCharType="end"/>
      </w:r>
      <w:r w:rsidRPr="001A1BF8">
        <w:rPr>
          <w:b/>
        </w:rPr>
        <w:t>:</w:t>
      </w:r>
      <w:r w:rsidRPr="001A1BF8">
        <w:rPr>
          <w:rFonts w:eastAsiaTheme="minorEastAsia"/>
          <w:i/>
          <w:color w:val="000000" w:themeColor="text1"/>
          <w:lang w:eastAsia="sk-SK"/>
        </w:rPr>
        <w:t xml:space="preserve"> </w:t>
      </w:r>
      <w:r w:rsidRPr="001A1BF8">
        <w:rPr>
          <w:rFonts w:eastAsiaTheme="minorEastAsia"/>
          <w:color w:val="000000" w:themeColor="text1"/>
          <w:lang w:eastAsia="sk-SK"/>
        </w:rPr>
        <w:t>Percentuálny podiel ekologického poľnohospodárstva z celkovej obhospodarovanej poľnohospodárskej pôdy</w:t>
      </w:r>
      <w:r w:rsidRPr="001A1BF8">
        <w:rPr>
          <w:rFonts w:eastAsiaTheme="minorEastAsia"/>
          <w:i/>
          <w:color w:val="000000" w:themeColor="text1"/>
          <w:lang w:eastAsia="sk-SK"/>
        </w:rPr>
        <w:t xml:space="preserve"> </w:t>
      </w:r>
      <w:r w:rsidR="00B07B0E" w:rsidRPr="001A1BF8">
        <w:rPr>
          <w:i/>
        </w:rPr>
        <w:t xml:space="preserve">Zdroj: </w:t>
      </w:r>
      <w:r w:rsidR="00B07B0E" w:rsidRPr="001A1BF8">
        <w:t>Scenáre vývoja v životnom prostredí: udržateľný rast v kontexte ochrany biodiverzity a zmeny klímy? Bratislava: Centru spoločenských a psychologických vied, Slovenská akadémia vied, 2017.</w:t>
      </w:r>
      <w:bookmarkEnd w:id="59"/>
      <w:r w:rsidR="00B07B0E" w:rsidRPr="001A1BF8">
        <w:t xml:space="preserve"> </w:t>
      </w:r>
    </w:p>
    <w:p w14:paraId="5CC7CC73" w14:textId="77777777" w:rsidR="00B07B0E" w:rsidRPr="007A3E43" w:rsidRDefault="00B07B0E" w:rsidP="00B07B0E">
      <w:pPr>
        <w:rPr>
          <w:sz w:val="22"/>
          <w:szCs w:val="22"/>
        </w:rPr>
      </w:pPr>
    </w:p>
    <w:p w14:paraId="7E4EA22A" w14:textId="712F3C3E" w:rsidR="00B07B0E" w:rsidRDefault="00B07B0E" w:rsidP="00E91833">
      <w:pPr>
        <w:keepNext/>
        <w:keepLines/>
      </w:pPr>
      <w:r w:rsidRPr="001A1BF8">
        <w:rPr>
          <w:noProof/>
          <w:lang w:val="cs-CZ" w:eastAsia="cs-CZ"/>
        </w:rPr>
        <w:lastRenderedPageBreak/>
        <w:drawing>
          <wp:inline distT="0" distB="0" distL="0" distR="0" wp14:anchorId="2AF3F836" wp14:editId="58691BDA">
            <wp:extent cx="5724525" cy="2819400"/>
            <wp:effectExtent l="0" t="0" r="9525" b="0"/>
            <wp:docPr id="14" name="Picture 14" descr="porovnanie trend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porovnanie trendov"/>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24525" cy="2819400"/>
                    </a:xfrm>
                    <a:prstGeom prst="rect">
                      <a:avLst/>
                    </a:prstGeom>
                    <a:noFill/>
                    <a:ln>
                      <a:noFill/>
                    </a:ln>
                  </pic:spPr>
                </pic:pic>
              </a:graphicData>
            </a:graphic>
          </wp:inline>
        </w:drawing>
      </w:r>
    </w:p>
    <w:p w14:paraId="23F449D5" w14:textId="29D76143" w:rsidR="00E91833" w:rsidRPr="00E91833" w:rsidRDefault="00E91833" w:rsidP="00E91833">
      <w:pPr>
        <w:rPr>
          <w:iCs/>
          <w:lang w:eastAsia="sk-SK"/>
        </w:rPr>
      </w:pPr>
      <w:bookmarkStart w:id="60" w:name="_Toc497143643"/>
      <w:bookmarkStart w:id="61" w:name="_Toc496696957"/>
      <w:bookmarkStart w:id="62" w:name="_Toc500705965"/>
      <w:r w:rsidRPr="00E91833">
        <w:rPr>
          <w:b/>
        </w:rPr>
        <w:t xml:space="preserve">Graf </w:t>
      </w:r>
      <w:r w:rsidRPr="00E91833">
        <w:rPr>
          <w:b/>
        </w:rPr>
        <w:fldChar w:fldCharType="begin"/>
      </w:r>
      <w:r w:rsidRPr="00E91833">
        <w:rPr>
          <w:b/>
        </w:rPr>
        <w:instrText xml:space="preserve"> SEQ Graf \* ARABIC </w:instrText>
      </w:r>
      <w:r w:rsidRPr="00E91833">
        <w:rPr>
          <w:b/>
        </w:rPr>
        <w:fldChar w:fldCharType="separate"/>
      </w:r>
      <w:r w:rsidR="00B72FA9">
        <w:rPr>
          <w:b/>
          <w:noProof/>
        </w:rPr>
        <w:t>10</w:t>
      </w:r>
      <w:r w:rsidRPr="00E91833">
        <w:rPr>
          <w:b/>
        </w:rPr>
        <w:fldChar w:fldCharType="end"/>
      </w:r>
      <w:r w:rsidRPr="00E91833">
        <w:rPr>
          <w:b/>
        </w:rPr>
        <w:t>:</w:t>
      </w:r>
      <w:r w:rsidRPr="00E91833">
        <w:rPr>
          <w:rFonts w:eastAsiaTheme="minorEastAsia"/>
          <w:b/>
          <w:color w:val="000000" w:themeColor="text1"/>
          <w:lang w:eastAsia="sk-SK"/>
        </w:rPr>
        <w:t>.</w:t>
      </w:r>
      <w:r w:rsidRPr="00E91833">
        <w:rPr>
          <w:rFonts w:eastAsiaTheme="minorEastAsia"/>
          <w:color w:val="000000" w:themeColor="text1"/>
          <w:lang w:eastAsia="sk-SK"/>
        </w:rPr>
        <w:t xml:space="preserve"> </w:t>
      </w:r>
      <w:r w:rsidRPr="00E91833">
        <w:rPr>
          <w:iCs/>
          <w:lang w:eastAsia="sk-SK"/>
        </w:rPr>
        <w:t>Znázornenie Indexu zmeny početnosti druhov vtáctva poľnohospodárskej krajiny.</w:t>
      </w:r>
      <w:bookmarkEnd w:id="60"/>
      <w:bookmarkEnd w:id="61"/>
      <w:r w:rsidRPr="00E91833">
        <w:rPr>
          <w:iCs/>
          <w:lang w:eastAsia="sk-SK"/>
        </w:rPr>
        <w:t xml:space="preserve"> </w:t>
      </w:r>
      <w:r w:rsidRPr="00E91833">
        <w:rPr>
          <w:i/>
          <w:lang w:eastAsia="sk-SK"/>
        </w:rPr>
        <w:t>Zdroj:</w:t>
      </w:r>
      <w:r w:rsidRPr="00E91833">
        <w:rPr>
          <w:lang w:eastAsia="sk-SK"/>
        </w:rPr>
        <w:t xml:space="preserve"> SOS/</w:t>
      </w:r>
      <w:proofErr w:type="spellStart"/>
      <w:r w:rsidRPr="00E91833">
        <w:rPr>
          <w:lang w:eastAsia="sk-SK"/>
        </w:rPr>
        <w:t>BirdLife</w:t>
      </w:r>
      <w:proofErr w:type="spellEnd"/>
      <w:r w:rsidRPr="00E91833">
        <w:rPr>
          <w:lang w:eastAsia="sk-SK"/>
        </w:rPr>
        <w:t xml:space="preserve"> SR,</w:t>
      </w:r>
      <w:r w:rsidR="002172B7">
        <w:rPr>
          <w:lang w:eastAsia="sk-SK"/>
        </w:rPr>
        <w:t xml:space="preserve"> </w:t>
      </w:r>
      <w:r w:rsidRPr="00E91833">
        <w:rPr>
          <w:lang w:eastAsia="sk-SK"/>
        </w:rPr>
        <w:t>2016</w:t>
      </w:r>
      <w:r>
        <w:rPr>
          <w:lang w:eastAsia="sk-SK"/>
        </w:rPr>
        <w:t xml:space="preserve">. </w:t>
      </w:r>
      <w:r w:rsidRPr="00E91833">
        <w:rPr>
          <w:iCs/>
          <w:lang w:eastAsia="sk-SK"/>
        </w:rPr>
        <w:t xml:space="preserve"> (FBI SK – </w:t>
      </w:r>
      <w:proofErr w:type="spellStart"/>
      <w:r w:rsidRPr="00E91833">
        <w:rPr>
          <w:iCs/>
          <w:lang w:eastAsia="sk-SK"/>
        </w:rPr>
        <w:t>farmland</w:t>
      </w:r>
      <w:proofErr w:type="spellEnd"/>
      <w:r w:rsidRPr="00E91833">
        <w:rPr>
          <w:iCs/>
          <w:lang w:eastAsia="sk-SK"/>
        </w:rPr>
        <w:t xml:space="preserve"> </w:t>
      </w:r>
      <w:proofErr w:type="spellStart"/>
      <w:r w:rsidRPr="00E91833">
        <w:rPr>
          <w:iCs/>
          <w:lang w:eastAsia="sk-SK"/>
        </w:rPr>
        <w:t>bird</w:t>
      </w:r>
      <w:proofErr w:type="spellEnd"/>
      <w:r w:rsidRPr="00E91833">
        <w:rPr>
          <w:iCs/>
          <w:lang w:eastAsia="sk-SK"/>
        </w:rPr>
        <w:t xml:space="preserve"> index</w:t>
      </w:r>
      <w:r w:rsidR="002172B7">
        <w:rPr>
          <w:iCs/>
          <w:lang w:eastAsia="sk-SK"/>
        </w:rPr>
        <w:t xml:space="preserve"> </w:t>
      </w:r>
      <w:r w:rsidRPr="00E91833">
        <w:rPr>
          <w:iCs/>
          <w:lang w:eastAsia="sk-SK"/>
        </w:rPr>
        <w:t>-</w:t>
      </w:r>
      <w:r w:rsidR="002172B7">
        <w:rPr>
          <w:iCs/>
          <w:lang w:eastAsia="sk-SK"/>
        </w:rPr>
        <w:t xml:space="preserve"> </w:t>
      </w:r>
      <w:r w:rsidRPr="00E91833">
        <w:rPr>
          <w:iCs/>
          <w:lang w:eastAsia="sk-SK"/>
        </w:rPr>
        <w:t xml:space="preserve">index zmeny početnosti druhov poľnohospodárskej krajiny na národnej úrovni, FBI AEP – </w:t>
      </w:r>
      <w:proofErr w:type="spellStart"/>
      <w:r w:rsidRPr="00E91833">
        <w:rPr>
          <w:iCs/>
          <w:lang w:eastAsia="sk-SK"/>
        </w:rPr>
        <w:t>farmland</w:t>
      </w:r>
      <w:proofErr w:type="spellEnd"/>
      <w:r w:rsidRPr="00E91833">
        <w:rPr>
          <w:iCs/>
          <w:lang w:eastAsia="sk-SK"/>
        </w:rPr>
        <w:t xml:space="preserve"> </w:t>
      </w:r>
      <w:proofErr w:type="spellStart"/>
      <w:r w:rsidRPr="00E91833">
        <w:rPr>
          <w:iCs/>
          <w:lang w:eastAsia="sk-SK"/>
        </w:rPr>
        <w:t>bird</w:t>
      </w:r>
      <w:proofErr w:type="spellEnd"/>
      <w:r w:rsidRPr="00E91833">
        <w:rPr>
          <w:iCs/>
          <w:lang w:eastAsia="sk-SK"/>
        </w:rPr>
        <w:t xml:space="preserve"> index zmeny početnosti druhov poľnohospodárskej krajiny na plochách s aplikovanými </w:t>
      </w:r>
      <w:proofErr w:type="spellStart"/>
      <w:r w:rsidRPr="00E91833">
        <w:rPr>
          <w:iCs/>
          <w:lang w:eastAsia="sk-SK"/>
        </w:rPr>
        <w:t>agroenvironmentálnymi</w:t>
      </w:r>
      <w:proofErr w:type="spellEnd"/>
      <w:r w:rsidRPr="00E91833">
        <w:rPr>
          <w:iCs/>
          <w:lang w:eastAsia="sk-SK"/>
        </w:rPr>
        <w:t xml:space="preserve"> schémami)</w:t>
      </w:r>
      <w:bookmarkEnd w:id="62"/>
    </w:p>
    <w:p w14:paraId="0C719B16" w14:textId="0326B918" w:rsidR="00E91833" w:rsidRDefault="00E91833" w:rsidP="00B07B0E"/>
    <w:p w14:paraId="11756E88" w14:textId="35D36DC0" w:rsidR="00E91833" w:rsidRPr="00E91833" w:rsidRDefault="00E91833" w:rsidP="00E91833">
      <w:pPr>
        <w:pStyle w:val="Titulek"/>
        <w:keepNext/>
        <w:keepLines/>
        <w:jc w:val="both"/>
        <w:rPr>
          <w:rFonts w:ascii="Times New Roman" w:hAnsi="Times New Roman"/>
          <w:i w:val="0"/>
          <w:sz w:val="24"/>
          <w:szCs w:val="24"/>
        </w:rPr>
      </w:pPr>
      <w:bookmarkStart w:id="63" w:name="_Toc497143639"/>
      <w:bookmarkStart w:id="64" w:name="_Toc500705974"/>
      <w:r w:rsidRPr="00E91833">
        <w:rPr>
          <w:rFonts w:ascii="Times New Roman" w:hAnsi="Times New Roman"/>
          <w:b/>
          <w:i w:val="0"/>
          <w:sz w:val="24"/>
          <w:szCs w:val="24"/>
        </w:rPr>
        <w:t xml:space="preserve">Tabuľka </w:t>
      </w:r>
      <w:r w:rsidRPr="00E91833">
        <w:rPr>
          <w:rFonts w:ascii="Times New Roman" w:hAnsi="Times New Roman"/>
          <w:i w:val="0"/>
          <w:sz w:val="24"/>
          <w:szCs w:val="24"/>
        </w:rPr>
        <w:fldChar w:fldCharType="begin"/>
      </w:r>
      <w:r w:rsidRPr="00E91833">
        <w:rPr>
          <w:rFonts w:ascii="Times New Roman" w:hAnsi="Times New Roman"/>
          <w:b/>
          <w:i w:val="0"/>
          <w:sz w:val="24"/>
          <w:szCs w:val="24"/>
        </w:rPr>
        <w:instrText xml:space="preserve"> SEQ Tabuľka \* ARABIC </w:instrText>
      </w:r>
      <w:r w:rsidRPr="00E91833">
        <w:rPr>
          <w:rFonts w:ascii="Times New Roman" w:hAnsi="Times New Roman"/>
          <w:i w:val="0"/>
          <w:sz w:val="24"/>
          <w:szCs w:val="24"/>
        </w:rPr>
        <w:fldChar w:fldCharType="separate"/>
      </w:r>
      <w:r w:rsidR="00B72FA9">
        <w:rPr>
          <w:rFonts w:ascii="Times New Roman" w:hAnsi="Times New Roman"/>
          <w:b/>
          <w:i w:val="0"/>
          <w:noProof/>
          <w:sz w:val="24"/>
          <w:szCs w:val="24"/>
        </w:rPr>
        <w:t>5</w:t>
      </w:r>
      <w:r w:rsidRPr="00E91833">
        <w:rPr>
          <w:rFonts w:ascii="Times New Roman" w:hAnsi="Times New Roman"/>
          <w:i w:val="0"/>
          <w:sz w:val="24"/>
          <w:szCs w:val="24"/>
        </w:rPr>
        <w:fldChar w:fldCharType="end"/>
      </w:r>
      <w:r w:rsidRPr="00E91833">
        <w:rPr>
          <w:rFonts w:ascii="Times New Roman" w:hAnsi="Times New Roman"/>
          <w:b/>
          <w:i w:val="0"/>
          <w:sz w:val="24"/>
          <w:szCs w:val="24"/>
        </w:rPr>
        <w:t>:</w:t>
      </w:r>
      <w:r w:rsidRPr="00E91833">
        <w:rPr>
          <w:rFonts w:ascii="Times New Roman" w:hAnsi="Times New Roman"/>
          <w:i w:val="0"/>
          <w:sz w:val="24"/>
          <w:szCs w:val="24"/>
        </w:rPr>
        <w:t xml:space="preserve"> Ukazovatele stratégie Európa 2020 v oblasti zmeny klímy</w:t>
      </w:r>
      <w:bookmarkEnd w:id="63"/>
      <w:bookmarkEnd w:id="64"/>
    </w:p>
    <w:tbl>
      <w:tblPr>
        <w:tblW w:w="5000" w:type="pct"/>
        <w:tblBorders>
          <w:top w:val="double" w:sz="4" w:space="0" w:color="auto"/>
          <w:left w:val="double" w:sz="4" w:space="0" w:color="auto"/>
          <w:bottom w:val="double" w:sz="4" w:space="0" w:color="auto"/>
          <w:right w:val="double" w:sz="4" w:space="0" w:color="auto"/>
        </w:tblBorders>
        <w:tblCellMar>
          <w:left w:w="70" w:type="dxa"/>
          <w:right w:w="70" w:type="dxa"/>
        </w:tblCellMar>
        <w:tblLook w:val="04A0" w:firstRow="1" w:lastRow="0" w:firstColumn="1" w:lastColumn="0" w:noHBand="0" w:noVBand="1"/>
      </w:tblPr>
      <w:tblGrid>
        <w:gridCol w:w="4521"/>
        <w:gridCol w:w="559"/>
        <w:gridCol w:w="559"/>
        <w:gridCol w:w="559"/>
        <w:gridCol w:w="559"/>
        <w:gridCol w:w="559"/>
        <w:gridCol w:w="559"/>
        <w:gridCol w:w="559"/>
        <w:gridCol w:w="556"/>
      </w:tblGrid>
      <w:tr w:rsidR="00E91833" w:rsidRPr="00E91833" w14:paraId="7AFCF55A" w14:textId="77777777" w:rsidTr="00E91833">
        <w:trPr>
          <w:trHeight w:val="300"/>
        </w:trPr>
        <w:tc>
          <w:tcPr>
            <w:tcW w:w="2514" w:type="pct"/>
            <w:tcBorders>
              <w:bottom w:val="single" w:sz="4" w:space="0" w:color="auto"/>
              <w:right w:val="single" w:sz="4" w:space="0" w:color="auto"/>
            </w:tcBorders>
            <w:shd w:val="clear" w:color="auto" w:fill="auto"/>
            <w:tcMar>
              <w:left w:w="28" w:type="dxa"/>
              <w:right w:w="28" w:type="dxa"/>
            </w:tcMar>
            <w:vAlign w:val="center"/>
            <w:hideMark/>
          </w:tcPr>
          <w:p w14:paraId="37D2205C" w14:textId="1A6F2620" w:rsidR="00E91833" w:rsidRPr="00E91833" w:rsidRDefault="00E91833" w:rsidP="007160B3">
            <w:pPr>
              <w:keepNext/>
              <w:keepLines/>
              <w:spacing w:after="0"/>
              <w:jc w:val="left"/>
              <w:rPr>
                <w:b/>
                <w:bCs w:val="0"/>
                <w:sz w:val="22"/>
                <w:szCs w:val="22"/>
                <w:lang w:eastAsia="sk-SK"/>
              </w:rPr>
            </w:pPr>
            <w:r w:rsidRPr="00E91833">
              <w:rPr>
                <w:b/>
                <w:bCs w:val="0"/>
                <w:color w:val="000000" w:themeColor="text1"/>
                <w:sz w:val="22"/>
                <w:szCs w:val="22"/>
                <w:lang w:eastAsia="en-US"/>
              </w:rPr>
              <w:t>Plnenie ukazovateľov</w:t>
            </w:r>
            <w:r w:rsidR="007160B3">
              <w:rPr>
                <w:b/>
                <w:bCs w:val="0"/>
                <w:color w:val="000000" w:themeColor="text1"/>
                <w:sz w:val="22"/>
                <w:szCs w:val="22"/>
                <w:lang w:eastAsia="en-US"/>
              </w:rPr>
              <w:t xml:space="preserve"> stratégie</w:t>
            </w:r>
            <w:r w:rsidRPr="00E91833">
              <w:rPr>
                <w:b/>
                <w:bCs w:val="0"/>
                <w:color w:val="000000" w:themeColor="text1"/>
                <w:sz w:val="22"/>
                <w:szCs w:val="22"/>
                <w:lang w:eastAsia="en-US"/>
              </w:rPr>
              <w:t xml:space="preserve"> Európa 2020 a</w:t>
            </w:r>
            <w:r w:rsidR="007160B3">
              <w:rPr>
                <w:b/>
                <w:bCs w:val="0"/>
                <w:color w:val="000000" w:themeColor="text1"/>
                <w:sz w:val="22"/>
                <w:szCs w:val="22"/>
                <w:lang w:eastAsia="en-US"/>
              </w:rPr>
              <w:t> </w:t>
            </w:r>
            <w:r w:rsidRPr="007160B3">
              <w:rPr>
                <w:b/>
                <w:bCs w:val="0"/>
                <w:color w:val="000000" w:themeColor="text1"/>
                <w:sz w:val="22"/>
                <w:szCs w:val="22"/>
                <w:lang w:eastAsia="en-US"/>
              </w:rPr>
              <w:t>N</w:t>
            </w:r>
            <w:r w:rsidR="007160B3" w:rsidRPr="00E6350E">
              <w:rPr>
                <w:b/>
                <w:bCs w:val="0"/>
                <w:color w:val="000000" w:themeColor="text1"/>
                <w:sz w:val="22"/>
                <w:szCs w:val="22"/>
                <w:lang w:eastAsia="en-US"/>
              </w:rPr>
              <w:t>árodného programu reforiem</w:t>
            </w:r>
          </w:p>
        </w:tc>
        <w:tc>
          <w:tcPr>
            <w:tcW w:w="311" w:type="pct"/>
            <w:tcBorders>
              <w:top w:val="double" w:sz="4" w:space="0" w:color="auto"/>
              <w:left w:val="single" w:sz="4" w:space="0" w:color="auto"/>
              <w:bottom w:val="single" w:sz="4" w:space="0" w:color="auto"/>
            </w:tcBorders>
            <w:shd w:val="clear" w:color="auto" w:fill="auto"/>
            <w:tcMar>
              <w:left w:w="28" w:type="dxa"/>
              <w:right w:w="28" w:type="dxa"/>
            </w:tcMar>
            <w:vAlign w:val="center"/>
            <w:hideMark/>
          </w:tcPr>
          <w:p w14:paraId="133027EA" w14:textId="77777777" w:rsidR="00E91833" w:rsidRPr="00E91833" w:rsidRDefault="00E91833" w:rsidP="00E91833">
            <w:pPr>
              <w:keepNext/>
              <w:keepLines/>
              <w:spacing w:after="0"/>
              <w:jc w:val="center"/>
              <w:rPr>
                <w:b/>
                <w:bCs w:val="0"/>
                <w:sz w:val="22"/>
                <w:szCs w:val="22"/>
                <w:lang w:eastAsia="sk-SK"/>
              </w:rPr>
            </w:pPr>
            <w:r w:rsidRPr="00E91833">
              <w:rPr>
                <w:b/>
                <w:bCs w:val="0"/>
                <w:color w:val="000000" w:themeColor="text1"/>
                <w:sz w:val="22"/>
                <w:szCs w:val="22"/>
                <w:lang w:eastAsia="en-US"/>
              </w:rPr>
              <w:t>2010</w:t>
            </w:r>
          </w:p>
        </w:tc>
        <w:tc>
          <w:tcPr>
            <w:tcW w:w="311" w:type="pct"/>
            <w:tcBorders>
              <w:top w:val="double" w:sz="4" w:space="0" w:color="auto"/>
              <w:bottom w:val="single" w:sz="4" w:space="0" w:color="auto"/>
            </w:tcBorders>
            <w:shd w:val="clear" w:color="auto" w:fill="auto"/>
            <w:tcMar>
              <w:left w:w="28" w:type="dxa"/>
              <w:right w:w="28" w:type="dxa"/>
            </w:tcMar>
            <w:vAlign w:val="center"/>
            <w:hideMark/>
          </w:tcPr>
          <w:p w14:paraId="39780237" w14:textId="77777777" w:rsidR="00E91833" w:rsidRPr="00E91833" w:rsidRDefault="00E91833" w:rsidP="00E91833">
            <w:pPr>
              <w:keepNext/>
              <w:keepLines/>
              <w:spacing w:after="0"/>
              <w:jc w:val="center"/>
              <w:rPr>
                <w:b/>
                <w:bCs w:val="0"/>
                <w:sz w:val="22"/>
                <w:szCs w:val="22"/>
                <w:lang w:eastAsia="sk-SK"/>
              </w:rPr>
            </w:pPr>
            <w:r w:rsidRPr="00E91833">
              <w:rPr>
                <w:b/>
                <w:bCs w:val="0"/>
                <w:color w:val="000000" w:themeColor="text1"/>
                <w:sz w:val="22"/>
                <w:szCs w:val="22"/>
                <w:lang w:eastAsia="en-US"/>
              </w:rPr>
              <w:t>2011</w:t>
            </w:r>
          </w:p>
        </w:tc>
        <w:tc>
          <w:tcPr>
            <w:tcW w:w="311" w:type="pct"/>
            <w:tcBorders>
              <w:top w:val="double" w:sz="4" w:space="0" w:color="auto"/>
              <w:bottom w:val="single" w:sz="4" w:space="0" w:color="auto"/>
            </w:tcBorders>
            <w:shd w:val="clear" w:color="auto" w:fill="auto"/>
            <w:tcMar>
              <w:left w:w="28" w:type="dxa"/>
              <w:right w:w="28" w:type="dxa"/>
            </w:tcMar>
            <w:vAlign w:val="center"/>
            <w:hideMark/>
          </w:tcPr>
          <w:p w14:paraId="4BF9D963" w14:textId="77777777" w:rsidR="00E91833" w:rsidRPr="00E91833" w:rsidRDefault="00E91833" w:rsidP="00E91833">
            <w:pPr>
              <w:keepNext/>
              <w:keepLines/>
              <w:spacing w:after="0"/>
              <w:jc w:val="center"/>
              <w:rPr>
                <w:b/>
                <w:bCs w:val="0"/>
                <w:sz w:val="22"/>
                <w:szCs w:val="22"/>
                <w:lang w:eastAsia="sk-SK"/>
              </w:rPr>
            </w:pPr>
            <w:r w:rsidRPr="00E91833">
              <w:rPr>
                <w:b/>
                <w:bCs w:val="0"/>
                <w:color w:val="000000" w:themeColor="text1"/>
                <w:sz w:val="22"/>
                <w:szCs w:val="22"/>
                <w:lang w:eastAsia="en-US"/>
              </w:rPr>
              <w:t>2012</w:t>
            </w:r>
          </w:p>
        </w:tc>
        <w:tc>
          <w:tcPr>
            <w:tcW w:w="311" w:type="pct"/>
            <w:tcBorders>
              <w:top w:val="double" w:sz="4" w:space="0" w:color="auto"/>
              <w:bottom w:val="single" w:sz="4" w:space="0" w:color="auto"/>
            </w:tcBorders>
            <w:shd w:val="clear" w:color="auto" w:fill="auto"/>
            <w:tcMar>
              <w:left w:w="28" w:type="dxa"/>
              <w:right w:w="28" w:type="dxa"/>
            </w:tcMar>
            <w:vAlign w:val="center"/>
            <w:hideMark/>
          </w:tcPr>
          <w:p w14:paraId="4B1589E6" w14:textId="77777777" w:rsidR="00E91833" w:rsidRPr="00E91833" w:rsidRDefault="00E91833" w:rsidP="00E91833">
            <w:pPr>
              <w:keepNext/>
              <w:keepLines/>
              <w:spacing w:after="0"/>
              <w:jc w:val="center"/>
              <w:rPr>
                <w:b/>
                <w:bCs w:val="0"/>
                <w:sz w:val="22"/>
                <w:szCs w:val="22"/>
                <w:lang w:eastAsia="sk-SK"/>
              </w:rPr>
            </w:pPr>
            <w:r w:rsidRPr="00E91833">
              <w:rPr>
                <w:b/>
                <w:bCs w:val="0"/>
                <w:color w:val="000000" w:themeColor="text1"/>
                <w:sz w:val="22"/>
                <w:szCs w:val="22"/>
                <w:lang w:eastAsia="en-US"/>
              </w:rPr>
              <w:t>2013</w:t>
            </w:r>
          </w:p>
        </w:tc>
        <w:tc>
          <w:tcPr>
            <w:tcW w:w="311" w:type="pct"/>
            <w:tcBorders>
              <w:top w:val="double" w:sz="4" w:space="0" w:color="auto"/>
              <w:bottom w:val="single" w:sz="4" w:space="0" w:color="auto"/>
            </w:tcBorders>
            <w:shd w:val="clear" w:color="auto" w:fill="auto"/>
            <w:tcMar>
              <w:left w:w="28" w:type="dxa"/>
              <w:right w:w="28" w:type="dxa"/>
            </w:tcMar>
            <w:vAlign w:val="center"/>
            <w:hideMark/>
          </w:tcPr>
          <w:p w14:paraId="14581BB7" w14:textId="77777777" w:rsidR="00E91833" w:rsidRPr="00E91833" w:rsidRDefault="00E91833" w:rsidP="00E91833">
            <w:pPr>
              <w:keepNext/>
              <w:keepLines/>
              <w:spacing w:after="0"/>
              <w:jc w:val="center"/>
              <w:rPr>
                <w:b/>
                <w:bCs w:val="0"/>
                <w:sz w:val="22"/>
                <w:szCs w:val="22"/>
                <w:lang w:eastAsia="sk-SK"/>
              </w:rPr>
            </w:pPr>
            <w:r w:rsidRPr="00E91833">
              <w:rPr>
                <w:b/>
                <w:bCs w:val="0"/>
                <w:color w:val="000000" w:themeColor="text1"/>
                <w:sz w:val="22"/>
                <w:szCs w:val="22"/>
                <w:lang w:eastAsia="en-US"/>
              </w:rPr>
              <w:t>2014</w:t>
            </w:r>
          </w:p>
        </w:tc>
        <w:tc>
          <w:tcPr>
            <w:tcW w:w="311" w:type="pct"/>
            <w:tcBorders>
              <w:top w:val="double" w:sz="4" w:space="0" w:color="auto"/>
              <w:bottom w:val="single" w:sz="4" w:space="0" w:color="auto"/>
            </w:tcBorders>
            <w:shd w:val="clear" w:color="auto" w:fill="auto"/>
            <w:tcMar>
              <w:left w:w="28" w:type="dxa"/>
              <w:right w:w="28" w:type="dxa"/>
            </w:tcMar>
            <w:vAlign w:val="center"/>
            <w:hideMark/>
          </w:tcPr>
          <w:p w14:paraId="132C092F" w14:textId="77777777" w:rsidR="00E91833" w:rsidRPr="00E91833" w:rsidRDefault="00E91833" w:rsidP="00E91833">
            <w:pPr>
              <w:keepNext/>
              <w:keepLines/>
              <w:spacing w:after="0"/>
              <w:jc w:val="center"/>
              <w:rPr>
                <w:b/>
                <w:bCs w:val="0"/>
                <w:sz w:val="22"/>
                <w:szCs w:val="22"/>
                <w:lang w:eastAsia="sk-SK"/>
              </w:rPr>
            </w:pPr>
            <w:r w:rsidRPr="00E91833">
              <w:rPr>
                <w:b/>
                <w:bCs w:val="0"/>
                <w:color w:val="000000" w:themeColor="text1"/>
                <w:sz w:val="22"/>
                <w:szCs w:val="22"/>
                <w:lang w:eastAsia="en-US"/>
              </w:rPr>
              <w:t>2015</w:t>
            </w:r>
          </w:p>
        </w:tc>
        <w:tc>
          <w:tcPr>
            <w:tcW w:w="311" w:type="pct"/>
            <w:tcBorders>
              <w:top w:val="double" w:sz="4" w:space="0" w:color="auto"/>
              <w:bottom w:val="single" w:sz="4" w:space="0" w:color="auto"/>
              <w:right w:val="single" w:sz="4" w:space="0" w:color="auto"/>
            </w:tcBorders>
            <w:shd w:val="clear" w:color="auto" w:fill="auto"/>
            <w:tcMar>
              <w:left w:w="28" w:type="dxa"/>
              <w:right w:w="28" w:type="dxa"/>
            </w:tcMar>
            <w:vAlign w:val="center"/>
            <w:hideMark/>
          </w:tcPr>
          <w:p w14:paraId="1B69116A" w14:textId="77777777" w:rsidR="00E91833" w:rsidRPr="00E91833" w:rsidRDefault="00E91833" w:rsidP="00E91833">
            <w:pPr>
              <w:keepNext/>
              <w:keepLines/>
              <w:spacing w:after="0"/>
              <w:jc w:val="center"/>
              <w:rPr>
                <w:b/>
                <w:bCs w:val="0"/>
                <w:sz w:val="22"/>
                <w:szCs w:val="22"/>
                <w:lang w:eastAsia="sk-SK"/>
              </w:rPr>
            </w:pPr>
            <w:r w:rsidRPr="00E91833">
              <w:rPr>
                <w:b/>
                <w:bCs w:val="0"/>
                <w:color w:val="000000" w:themeColor="text1"/>
                <w:sz w:val="22"/>
                <w:szCs w:val="22"/>
                <w:lang w:eastAsia="en-US"/>
              </w:rPr>
              <w:t>2016</w:t>
            </w:r>
          </w:p>
        </w:tc>
        <w:tc>
          <w:tcPr>
            <w:tcW w:w="311" w:type="pct"/>
            <w:tcBorders>
              <w:left w:val="single" w:sz="4" w:space="0" w:color="auto"/>
              <w:bottom w:val="single" w:sz="4" w:space="0" w:color="auto"/>
            </w:tcBorders>
            <w:shd w:val="clear" w:color="auto" w:fill="auto"/>
            <w:tcMar>
              <w:left w:w="28" w:type="dxa"/>
              <w:right w:w="28" w:type="dxa"/>
            </w:tcMar>
            <w:vAlign w:val="center"/>
            <w:hideMark/>
          </w:tcPr>
          <w:p w14:paraId="28CDD1F9" w14:textId="77777777" w:rsidR="00E91833" w:rsidRPr="00E91833" w:rsidRDefault="00E91833" w:rsidP="00E91833">
            <w:pPr>
              <w:keepNext/>
              <w:keepLines/>
              <w:spacing w:after="0"/>
              <w:jc w:val="center"/>
              <w:rPr>
                <w:b/>
                <w:bCs w:val="0"/>
                <w:sz w:val="22"/>
                <w:szCs w:val="22"/>
                <w:lang w:eastAsia="sk-SK"/>
              </w:rPr>
            </w:pPr>
            <w:r w:rsidRPr="00E91833">
              <w:rPr>
                <w:b/>
                <w:bCs w:val="0"/>
                <w:color w:val="000000" w:themeColor="text1"/>
                <w:sz w:val="22"/>
                <w:szCs w:val="22"/>
                <w:lang w:eastAsia="en-US"/>
              </w:rPr>
              <w:t>2020</w:t>
            </w:r>
          </w:p>
        </w:tc>
      </w:tr>
      <w:tr w:rsidR="00E91833" w:rsidRPr="00E91833" w14:paraId="6F2F632C" w14:textId="77777777" w:rsidTr="00E91833">
        <w:trPr>
          <w:trHeight w:val="300"/>
        </w:trPr>
        <w:tc>
          <w:tcPr>
            <w:tcW w:w="2514" w:type="pct"/>
            <w:tcBorders>
              <w:top w:val="single" w:sz="4" w:space="0" w:color="auto"/>
              <w:bottom w:val="single" w:sz="4" w:space="0" w:color="auto"/>
              <w:right w:val="single" w:sz="4" w:space="0" w:color="auto"/>
            </w:tcBorders>
            <w:shd w:val="clear" w:color="auto" w:fill="auto"/>
            <w:tcMar>
              <w:left w:w="28" w:type="dxa"/>
              <w:right w:w="28" w:type="dxa"/>
            </w:tcMar>
            <w:vAlign w:val="center"/>
            <w:hideMark/>
          </w:tcPr>
          <w:p w14:paraId="555D6ADD" w14:textId="77777777" w:rsidR="00E91833" w:rsidRPr="00E91833" w:rsidRDefault="00E91833" w:rsidP="00E91833">
            <w:pPr>
              <w:keepNext/>
              <w:keepLines/>
              <w:spacing w:after="0"/>
              <w:jc w:val="left"/>
              <w:rPr>
                <w:bCs w:val="0"/>
                <w:sz w:val="22"/>
                <w:szCs w:val="22"/>
                <w:lang w:eastAsia="sk-SK"/>
              </w:rPr>
            </w:pPr>
            <w:r w:rsidRPr="00E91833">
              <w:rPr>
                <w:bCs w:val="0"/>
                <w:sz w:val="22"/>
                <w:szCs w:val="22"/>
                <w:lang w:eastAsia="sk-SK"/>
              </w:rPr>
              <w:t xml:space="preserve">Nárast emisií skleníkových plynov mimo sektora </w:t>
            </w:r>
            <w:r w:rsidRPr="007160B3">
              <w:rPr>
                <w:bCs w:val="0"/>
                <w:sz w:val="22"/>
                <w:szCs w:val="22"/>
                <w:lang w:eastAsia="sk-SK"/>
              </w:rPr>
              <w:t>EU ETS</w:t>
            </w:r>
            <w:r w:rsidRPr="00E91833">
              <w:rPr>
                <w:bCs w:val="0"/>
                <w:sz w:val="22"/>
                <w:szCs w:val="22"/>
                <w:lang w:eastAsia="sk-SK"/>
              </w:rPr>
              <w:t xml:space="preserve"> (% oproti roku 2005) </w:t>
            </w:r>
          </w:p>
        </w:tc>
        <w:tc>
          <w:tcPr>
            <w:tcW w:w="311" w:type="pct"/>
            <w:tcBorders>
              <w:top w:val="single" w:sz="4" w:space="0" w:color="auto"/>
              <w:left w:val="single" w:sz="4" w:space="0" w:color="auto"/>
              <w:bottom w:val="single" w:sz="4" w:space="0" w:color="auto"/>
            </w:tcBorders>
            <w:shd w:val="clear" w:color="auto" w:fill="auto"/>
            <w:tcMar>
              <w:left w:w="28" w:type="dxa"/>
              <w:right w:w="28" w:type="dxa"/>
            </w:tcMar>
            <w:vAlign w:val="center"/>
            <w:hideMark/>
          </w:tcPr>
          <w:p w14:paraId="7BD99326"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-5</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64EF041A"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-11,2</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407D377B"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-14,7</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1EC641F4"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-19,4</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36DCE011"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-24,4</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528CCF61"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-23,2</w:t>
            </w:r>
          </w:p>
        </w:tc>
        <w:tc>
          <w:tcPr>
            <w:tcW w:w="311" w:type="pct"/>
            <w:tcBorders>
              <w:top w:val="single" w:sz="4" w:space="0" w:color="auto"/>
              <w:bottom w:val="single" w:sz="4" w:space="0" w:color="auto"/>
              <w:right w:val="single" w:sz="4" w:space="0" w:color="auto"/>
            </w:tcBorders>
            <w:shd w:val="clear" w:color="auto" w:fill="auto"/>
            <w:tcMar>
              <w:left w:w="28" w:type="dxa"/>
              <w:right w:w="28" w:type="dxa"/>
            </w:tcMar>
            <w:vAlign w:val="center"/>
            <w:hideMark/>
          </w:tcPr>
          <w:p w14:paraId="7EFCA8F5"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w:t>
            </w:r>
          </w:p>
        </w:tc>
        <w:tc>
          <w:tcPr>
            <w:tcW w:w="311" w:type="pct"/>
            <w:tcBorders>
              <w:top w:val="single" w:sz="4" w:space="0" w:color="auto"/>
              <w:left w:val="single" w:sz="4" w:space="0" w:color="auto"/>
              <w:bottom w:val="single" w:sz="4" w:space="0" w:color="auto"/>
            </w:tcBorders>
            <w:shd w:val="clear" w:color="auto" w:fill="auto"/>
            <w:tcMar>
              <w:left w:w="28" w:type="dxa"/>
              <w:right w:w="28" w:type="dxa"/>
            </w:tcMar>
            <w:vAlign w:val="center"/>
            <w:hideMark/>
          </w:tcPr>
          <w:p w14:paraId="3DEAAE59"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13</w:t>
            </w:r>
          </w:p>
        </w:tc>
      </w:tr>
      <w:tr w:rsidR="00E91833" w:rsidRPr="00E91833" w14:paraId="1D59AABF" w14:textId="77777777" w:rsidTr="00E91833">
        <w:trPr>
          <w:trHeight w:val="300"/>
        </w:trPr>
        <w:tc>
          <w:tcPr>
            <w:tcW w:w="2514" w:type="pct"/>
            <w:tcBorders>
              <w:top w:val="single" w:sz="4" w:space="0" w:color="auto"/>
              <w:bottom w:val="single" w:sz="4" w:space="0" w:color="auto"/>
              <w:right w:val="single" w:sz="4" w:space="0" w:color="auto"/>
            </w:tcBorders>
            <w:shd w:val="clear" w:color="auto" w:fill="auto"/>
            <w:tcMar>
              <w:left w:w="28" w:type="dxa"/>
              <w:right w:w="28" w:type="dxa"/>
            </w:tcMar>
            <w:vAlign w:val="center"/>
            <w:hideMark/>
          </w:tcPr>
          <w:p w14:paraId="07FC7CD5" w14:textId="77777777" w:rsidR="00E91833" w:rsidRPr="00E91833" w:rsidRDefault="00E91833" w:rsidP="00E91833">
            <w:pPr>
              <w:keepNext/>
              <w:keepLines/>
              <w:spacing w:after="0"/>
              <w:jc w:val="left"/>
              <w:rPr>
                <w:bCs w:val="0"/>
                <w:sz w:val="22"/>
                <w:szCs w:val="22"/>
                <w:lang w:eastAsia="sk-SK"/>
              </w:rPr>
            </w:pPr>
            <w:r w:rsidRPr="00E91833">
              <w:rPr>
                <w:bCs w:val="0"/>
                <w:sz w:val="22"/>
                <w:szCs w:val="22"/>
                <w:lang w:eastAsia="sk-SK"/>
              </w:rPr>
              <w:t>Podiel energie z OZE na hrubej konečnej spotrebe energie (%)</w:t>
            </w:r>
          </w:p>
        </w:tc>
        <w:tc>
          <w:tcPr>
            <w:tcW w:w="311" w:type="pct"/>
            <w:tcBorders>
              <w:top w:val="single" w:sz="4" w:space="0" w:color="auto"/>
              <w:left w:val="single" w:sz="4" w:space="0" w:color="auto"/>
              <w:bottom w:val="single" w:sz="4" w:space="0" w:color="auto"/>
            </w:tcBorders>
            <w:shd w:val="clear" w:color="auto" w:fill="auto"/>
            <w:tcMar>
              <w:left w:w="28" w:type="dxa"/>
              <w:right w:w="28" w:type="dxa"/>
            </w:tcMar>
            <w:vAlign w:val="center"/>
            <w:hideMark/>
          </w:tcPr>
          <w:p w14:paraId="7C4DB5F1"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9,1</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4C49D217"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10,3</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470D99CA"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10,4</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6FD1C7A0"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10,1</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5DE43EE2"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11,6</w:t>
            </w:r>
          </w:p>
        </w:tc>
        <w:tc>
          <w:tcPr>
            <w:tcW w:w="311" w:type="pct"/>
            <w:tcBorders>
              <w:top w:val="single" w:sz="4" w:space="0" w:color="auto"/>
              <w:bottom w:val="single" w:sz="4" w:space="0" w:color="auto"/>
            </w:tcBorders>
            <w:shd w:val="clear" w:color="auto" w:fill="auto"/>
            <w:tcMar>
              <w:left w:w="28" w:type="dxa"/>
              <w:right w:w="28" w:type="dxa"/>
            </w:tcMar>
            <w:vAlign w:val="center"/>
            <w:hideMark/>
          </w:tcPr>
          <w:p w14:paraId="184D4463"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12,9</w:t>
            </w:r>
          </w:p>
        </w:tc>
        <w:tc>
          <w:tcPr>
            <w:tcW w:w="311" w:type="pct"/>
            <w:tcBorders>
              <w:top w:val="single" w:sz="4" w:space="0" w:color="auto"/>
              <w:bottom w:val="single" w:sz="4" w:space="0" w:color="auto"/>
              <w:right w:val="single" w:sz="4" w:space="0" w:color="auto"/>
            </w:tcBorders>
            <w:shd w:val="clear" w:color="auto" w:fill="auto"/>
            <w:tcMar>
              <w:left w:w="28" w:type="dxa"/>
              <w:right w:w="28" w:type="dxa"/>
            </w:tcMar>
            <w:vAlign w:val="center"/>
            <w:hideMark/>
          </w:tcPr>
          <w:p w14:paraId="67454D19"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w:t>
            </w:r>
          </w:p>
        </w:tc>
        <w:tc>
          <w:tcPr>
            <w:tcW w:w="311" w:type="pct"/>
            <w:tcBorders>
              <w:top w:val="single" w:sz="4" w:space="0" w:color="auto"/>
              <w:left w:val="single" w:sz="4" w:space="0" w:color="auto"/>
              <w:bottom w:val="single" w:sz="4" w:space="0" w:color="auto"/>
            </w:tcBorders>
            <w:shd w:val="clear" w:color="auto" w:fill="auto"/>
            <w:tcMar>
              <w:left w:w="28" w:type="dxa"/>
              <w:right w:w="28" w:type="dxa"/>
            </w:tcMar>
            <w:vAlign w:val="center"/>
            <w:hideMark/>
          </w:tcPr>
          <w:p w14:paraId="68ABAEB1"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14</w:t>
            </w:r>
          </w:p>
        </w:tc>
      </w:tr>
      <w:tr w:rsidR="00E91833" w:rsidRPr="00E91833" w14:paraId="740F7FA8" w14:textId="77777777" w:rsidTr="00E91833">
        <w:trPr>
          <w:trHeight w:val="300"/>
        </w:trPr>
        <w:tc>
          <w:tcPr>
            <w:tcW w:w="2514" w:type="pct"/>
            <w:tcBorders>
              <w:top w:val="single" w:sz="4" w:space="0" w:color="auto"/>
              <w:right w:val="single" w:sz="4" w:space="0" w:color="auto"/>
            </w:tcBorders>
            <w:shd w:val="clear" w:color="auto" w:fill="auto"/>
            <w:tcMar>
              <w:left w:w="28" w:type="dxa"/>
              <w:right w:w="28" w:type="dxa"/>
            </w:tcMar>
            <w:vAlign w:val="center"/>
            <w:hideMark/>
          </w:tcPr>
          <w:p w14:paraId="13F83130" w14:textId="330616B7" w:rsidR="00E91833" w:rsidRPr="00E91833" w:rsidRDefault="00E91833" w:rsidP="002172B7">
            <w:pPr>
              <w:keepNext/>
              <w:keepLines/>
              <w:spacing w:after="0"/>
              <w:jc w:val="left"/>
              <w:rPr>
                <w:bCs w:val="0"/>
                <w:sz w:val="22"/>
                <w:szCs w:val="22"/>
                <w:lang w:eastAsia="sk-SK"/>
              </w:rPr>
            </w:pPr>
            <w:r w:rsidRPr="00E91833">
              <w:rPr>
                <w:bCs w:val="0"/>
                <w:sz w:val="22"/>
                <w:szCs w:val="22"/>
                <w:lang w:eastAsia="sk-SK"/>
              </w:rPr>
              <w:footnoteReference w:customMarkFollows="1" w:id="61"/>
              <w:t>Energetická efektívnosť (úspora v % konečnej spotreby v porovnaní s priemero</w:t>
            </w:r>
            <w:r w:rsidR="002172B7">
              <w:rPr>
                <w:bCs w:val="0"/>
                <w:sz w:val="22"/>
                <w:szCs w:val="22"/>
                <w:lang w:eastAsia="sk-SK"/>
              </w:rPr>
              <w:t>m</w:t>
            </w:r>
            <w:r w:rsidRPr="00E91833">
              <w:rPr>
                <w:bCs w:val="0"/>
                <w:sz w:val="22"/>
                <w:szCs w:val="22"/>
                <w:lang w:eastAsia="sk-SK"/>
              </w:rPr>
              <w:t xml:space="preserve"> v rokoch 2001 – 2005)[1]</w:t>
            </w:r>
          </w:p>
        </w:tc>
        <w:tc>
          <w:tcPr>
            <w:tcW w:w="311" w:type="pct"/>
            <w:tcBorders>
              <w:top w:val="single" w:sz="4" w:space="0" w:color="auto"/>
              <w:left w:val="single" w:sz="4" w:space="0" w:color="auto"/>
              <w:bottom w:val="double" w:sz="4" w:space="0" w:color="auto"/>
            </w:tcBorders>
            <w:shd w:val="clear" w:color="auto" w:fill="auto"/>
            <w:tcMar>
              <w:left w:w="28" w:type="dxa"/>
              <w:right w:w="28" w:type="dxa"/>
            </w:tcMar>
            <w:vAlign w:val="center"/>
            <w:hideMark/>
          </w:tcPr>
          <w:p w14:paraId="3383C313"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1,4</w:t>
            </w:r>
          </w:p>
        </w:tc>
        <w:tc>
          <w:tcPr>
            <w:tcW w:w="311" w:type="pct"/>
            <w:tcBorders>
              <w:top w:val="single" w:sz="4" w:space="0" w:color="auto"/>
              <w:bottom w:val="double" w:sz="4" w:space="0" w:color="auto"/>
            </w:tcBorders>
            <w:shd w:val="clear" w:color="auto" w:fill="auto"/>
            <w:tcMar>
              <w:left w:w="28" w:type="dxa"/>
              <w:right w:w="28" w:type="dxa"/>
            </w:tcMar>
            <w:vAlign w:val="center"/>
            <w:hideMark/>
          </w:tcPr>
          <w:p w14:paraId="60DF7210"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-5,4</w:t>
            </w:r>
          </w:p>
        </w:tc>
        <w:tc>
          <w:tcPr>
            <w:tcW w:w="311" w:type="pct"/>
            <w:tcBorders>
              <w:top w:val="single" w:sz="4" w:space="0" w:color="auto"/>
              <w:bottom w:val="double" w:sz="4" w:space="0" w:color="auto"/>
            </w:tcBorders>
            <w:shd w:val="clear" w:color="auto" w:fill="auto"/>
            <w:tcMar>
              <w:left w:w="28" w:type="dxa"/>
              <w:right w:w="28" w:type="dxa"/>
            </w:tcMar>
            <w:vAlign w:val="center"/>
            <w:hideMark/>
          </w:tcPr>
          <w:p w14:paraId="7727B88F"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-9,2</w:t>
            </w:r>
          </w:p>
        </w:tc>
        <w:tc>
          <w:tcPr>
            <w:tcW w:w="311" w:type="pct"/>
            <w:tcBorders>
              <w:top w:val="single" w:sz="4" w:space="0" w:color="auto"/>
              <w:bottom w:val="double" w:sz="4" w:space="0" w:color="auto"/>
            </w:tcBorders>
            <w:shd w:val="clear" w:color="auto" w:fill="auto"/>
            <w:tcMar>
              <w:left w:w="28" w:type="dxa"/>
              <w:right w:w="28" w:type="dxa"/>
            </w:tcMar>
            <w:vAlign w:val="center"/>
            <w:hideMark/>
          </w:tcPr>
          <w:p w14:paraId="49E0439B"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-6,9</w:t>
            </w:r>
          </w:p>
        </w:tc>
        <w:tc>
          <w:tcPr>
            <w:tcW w:w="311" w:type="pct"/>
            <w:tcBorders>
              <w:top w:val="single" w:sz="4" w:space="0" w:color="auto"/>
              <w:bottom w:val="double" w:sz="4" w:space="0" w:color="auto"/>
            </w:tcBorders>
            <w:shd w:val="clear" w:color="auto" w:fill="auto"/>
            <w:tcMar>
              <w:left w:w="28" w:type="dxa"/>
              <w:right w:w="28" w:type="dxa"/>
            </w:tcMar>
            <w:vAlign w:val="center"/>
            <w:hideMark/>
          </w:tcPr>
          <w:p w14:paraId="3B8E5C50"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-11,7</w:t>
            </w:r>
          </w:p>
        </w:tc>
        <w:tc>
          <w:tcPr>
            <w:tcW w:w="311" w:type="pct"/>
            <w:tcBorders>
              <w:top w:val="single" w:sz="4" w:space="0" w:color="auto"/>
              <w:bottom w:val="double" w:sz="4" w:space="0" w:color="auto"/>
            </w:tcBorders>
            <w:shd w:val="clear" w:color="auto" w:fill="auto"/>
            <w:tcMar>
              <w:left w:w="28" w:type="dxa"/>
              <w:right w:w="28" w:type="dxa"/>
            </w:tcMar>
            <w:vAlign w:val="center"/>
            <w:hideMark/>
          </w:tcPr>
          <w:p w14:paraId="5F783C15"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w:t>
            </w:r>
          </w:p>
        </w:tc>
        <w:tc>
          <w:tcPr>
            <w:tcW w:w="311" w:type="pct"/>
            <w:tcBorders>
              <w:top w:val="single" w:sz="4" w:space="0" w:color="auto"/>
              <w:bottom w:val="double" w:sz="4" w:space="0" w:color="auto"/>
              <w:right w:val="single" w:sz="4" w:space="0" w:color="auto"/>
            </w:tcBorders>
            <w:shd w:val="clear" w:color="auto" w:fill="auto"/>
            <w:tcMar>
              <w:left w:w="28" w:type="dxa"/>
              <w:right w:w="28" w:type="dxa"/>
            </w:tcMar>
            <w:vAlign w:val="center"/>
            <w:hideMark/>
          </w:tcPr>
          <w:p w14:paraId="22A5D55C"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w:t>
            </w:r>
          </w:p>
        </w:tc>
        <w:tc>
          <w:tcPr>
            <w:tcW w:w="311" w:type="pct"/>
            <w:tcBorders>
              <w:top w:val="single" w:sz="4" w:space="0" w:color="auto"/>
              <w:left w:val="single" w:sz="4" w:space="0" w:color="auto"/>
            </w:tcBorders>
            <w:shd w:val="clear" w:color="auto" w:fill="auto"/>
            <w:tcMar>
              <w:left w:w="28" w:type="dxa"/>
              <w:right w:w="28" w:type="dxa"/>
            </w:tcMar>
            <w:vAlign w:val="center"/>
            <w:hideMark/>
          </w:tcPr>
          <w:p w14:paraId="4EF6FB32" w14:textId="77777777" w:rsidR="00E91833" w:rsidRPr="00E91833" w:rsidRDefault="00E91833" w:rsidP="00E91833">
            <w:pPr>
              <w:keepNext/>
              <w:keepLines/>
              <w:spacing w:after="0"/>
              <w:jc w:val="center"/>
              <w:rPr>
                <w:bCs w:val="0"/>
                <w:sz w:val="22"/>
                <w:szCs w:val="22"/>
                <w:lang w:eastAsia="sk-SK"/>
              </w:rPr>
            </w:pPr>
            <w:r w:rsidRPr="00E91833">
              <w:rPr>
                <w:bCs w:val="0"/>
                <w:sz w:val="22"/>
                <w:szCs w:val="22"/>
                <w:lang w:eastAsia="sk-SK"/>
              </w:rPr>
              <w:t>-11</w:t>
            </w:r>
          </w:p>
        </w:tc>
      </w:tr>
    </w:tbl>
    <w:p w14:paraId="36FEC97E" w14:textId="7F9774C1" w:rsidR="00B07B0E" w:rsidRDefault="00B07B0E" w:rsidP="00E91833">
      <w:pPr>
        <w:keepNext/>
        <w:keepLines/>
        <w:rPr>
          <w:sz w:val="20"/>
          <w:szCs w:val="20"/>
        </w:rPr>
      </w:pPr>
      <w:r w:rsidRPr="00E91833">
        <w:rPr>
          <w:sz w:val="20"/>
          <w:szCs w:val="20"/>
        </w:rPr>
        <w:t xml:space="preserve">Zdroj: SHMÚ a ŠÚ SR, 2017. </w:t>
      </w:r>
    </w:p>
    <w:p w14:paraId="7067024E" w14:textId="77777777" w:rsidR="00E91833" w:rsidRPr="00E91833" w:rsidRDefault="00E91833" w:rsidP="00E91833"/>
    <w:p w14:paraId="5B7D6289" w14:textId="77777777" w:rsidR="00B07B0E" w:rsidRPr="007A3E43" w:rsidRDefault="00B07B0E" w:rsidP="00E36694">
      <w:pPr>
        <w:keepNext/>
        <w:keepLines/>
      </w:pPr>
      <w:r w:rsidRPr="007A3E43">
        <w:rPr>
          <w:noProof/>
          <w:lang w:val="cs-CZ" w:eastAsia="cs-CZ"/>
        </w:rPr>
        <w:lastRenderedPageBreak/>
        <w:drawing>
          <wp:inline distT="0" distB="0" distL="0" distR="0" wp14:anchorId="6D173FD2" wp14:editId="66B5F4C9">
            <wp:extent cx="5726430" cy="3276600"/>
            <wp:effectExtent l="0" t="0" r="762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743A0DE3" w14:textId="02C91D56" w:rsidR="00B07B0E" w:rsidRPr="0047245C" w:rsidRDefault="0047245C" w:rsidP="00E36694">
      <w:pPr>
        <w:keepNext/>
        <w:keepLines/>
      </w:pPr>
      <w:bookmarkStart w:id="65" w:name="_Toc497143645"/>
      <w:bookmarkStart w:id="66" w:name="_Toc496696959"/>
      <w:bookmarkStart w:id="67" w:name="_Toc500705966"/>
      <w:r w:rsidRPr="0047245C">
        <w:rPr>
          <w:b/>
        </w:rPr>
        <w:t xml:space="preserve">Graf </w:t>
      </w:r>
      <w:r w:rsidRPr="0047245C">
        <w:rPr>
          <w:b/>
        </w:rPr>
        <w:fldChar w:fldCharType="begin"/>
      </w:r>
      <w:r w:rsidRPr="0047245C">
        <w:rPr>
          <w:b/>
        </w:rPr>
        <w:instrText xml:space="preserve"> SEQ Graf \* ARABIC </w:instrText>
      </w:r>
      <w:r w:rsidRPr="0047245C">
        <w:rPr>
          <w:b/>
        </w:rPr>
        <w:fldChar w:fldCharType="separate"/>
      </w:r>
      <w:r w:rsidR="00B72FA9">
        <w:rPr>
          <w:b/>
          <w:noProof/>
        </w:rPr>
        <w:t>11</w:t>
      </w:r>
      <w:r w:rsidRPr="0047245C">
        <w:rPr>
          <w:b/>
        </w:rPr>
        <w:fldChar w:fldCharType="end"/>
      </w:r>
      <w:r w:rsidRPr="0047245C">
        <w:rPr>
          <w:b/>
        </w:rPr>
        <w:t>:</w:t>
      </w:r>
      <w:r w:rsidRPr="0047245C">
        <w:rPr>
          <w:rFonts w:eastAsiaTheme="minorEastAsia"/>
          <w:color w:val="000000" w:themeColor="text1"/>
          <w:lang w:eastAsia="sk-SK"/>
        </w:rPr>
        <w:t xml:space="preserve"> </w:t>
      </w:r>
      <w:r w:rsidR="001A1BF8" w:rsidRPr="0047245C">
        <w:t>Scenár vývoja podielu OZE v hrubej konečnej spotrebe energie do roku 2020.</w:t>
      </w:r>
      <w:bookmarkEnd w:id="65"/>
      <w:bookmarkEnd w:id="66"/>
      <w:r w:rsidR="001A1BF8" w:rsidRPr="0047245C">
        <w:t xml:space="preserve"> </w:t>
      </w:r>
      <w:r w:rsidR="00B07B0E" w:rsidRPr="0047245C">
        <w:t>Zdroj: Scenáre vývoja v životnom prostredí: udržateľný rast v kontexte ochrany biodiverzity a zmeny klímy? Bratislava: Centru spoločenských a psychologických vied, Slovenská akadémia vied, 2017.</w:t>
      </w:r>
      <w:bookmarkEnd w:id="67"/>
      <w:r w:rsidR="00B07B0E" w:rsidRPr="0047245C">
        <w:t xml:space="preserve"> </w:t>
      </w:r>
    </w:p>
    <w:p w14:paraId="3E3736F0" w14:textId="61427A91" w:rsidR="00B07B0E" w:rsidRPr="007A3E43" w:rsidRDefault="00B07B0E" w:rsidP="00E36694">
      <w:pPr>
        <w:rPr>
          <w:b/>
        </w:rPr>
      </w:pPr>
    </w:p>
    <w:p w14:paraId="674376BE" w14:textId="77777777" w:rsidR="00B07B0E" w:rsidRPr="007A3E43" w:rsidRDefault="00B07B0E" w:rsidP="00E36694">
      <w:pPr>
        <w:keepNext/>
        <w:keepLines/>
        <w:rPr>
          <w:sz w:val="22"/>
          <w:szCs w:val="22"/>
        </w:rPr>
      </w:pPr>
      <w:r w:rsidRPr="007A3E43">
        <w:rPr>
          <w:noProof/>
          <w:lang w:val="cs-CZ" w:eastAsia="cs-CZ"/>
        </w:rPr>
        <w:drawing>
          <wp:inline distT="0" distB="0" distL="0" distR="0" wp14:anchorId="632321D1" wp14:editId="169554D4">
            <wp:extent cx="5737860" cy="3187065"/>
            <wp:effectExtent l="0" t="0" r="15240" b="1333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222F43E5" w14:textId="6F74F02A" w:rsidR="00B07B0E" w:rsidRPr="001A1BF8" w:rsidRDefault="001A1BF8" w:rsidP="00E36694">
      <w:pPr>
        <w:pStyle w:val="Titulek"/>
        <w:keepNext/>
        <w:keepLines/>
        <w:rPr>
          <w:rFonts w:ascii="Times New Roman" w:hAnsi="Times New Roman"/>
          <w:i w:val="0"/>
          <w:sz w:val="24"/>
          <w:szCs w:val="24"/>
        </w:rPr>
      </w:pPr>
      <w:bookmarkStart w:id="68" w:name="_Toc497143650"/>
      <w:bookmarkStart w:id="69" w:name="_Toc496696964"/>
      <w:bookmarkStart w:id="70" w:name="_Toc500705967"/>
      <w:r w:rsidRPr="001A1BF8">
        <w:rPr>
          <w:rFonts w:ascii="Times New Roman" w:hAnsi="Times New Roman"/>
          <w:b/>
          <w:i w:val="0"/>
          <w:sz w:val="24"/>
          <w:szCs w:val="24"/>
        </w:rPr>
        <w:t xml:space="preserve">Graf </w:t>
      </w:r>
      <w:r w:rsidRPr="001A1BF8">
        <w:rPr>
          <w:rFonts w:ascii="Times New Roman" w:hAnsi="Times New Roman"/>
          <w:b/>
          <w:i w:val="0"/>
          <w:sz w:val="24"/>
          <w:szCs w:val="24"/>
        </w:rPr>
        <w:fldChar w:fldCharType="begin"/>
      </w:r>
      <w:r w:rsidRPr="001A1BF8">
        <w:rPr>
          <w:rFonts w:ascii="Times New Roman" w:hAnsi="Times New Roman"/>
          <w:b/>
          <w:i w:val="0"/>
          <w:sz w:val="24"/>
          <w:szCs w:val="24"/>
        </w:rPr>
        <w:instrText xml:space="preserve"> SEQ Graf \* ARABIC </w:instrText>
      </w:r>
      <w:r w:rsidRPr="001A1BF8">
        <w:rPr>
          <w:rFonts w:ascii="Times New Roman" w:hAnsi="Times New Roman"/>
          <w:b/>
          <w:i w:val="0"/>
          <w:sz w:val="24"/>
          <w:szCs w:val="24"/>
        </w:rPr>
        <w:fldChar w:fldCharType="separate"/>
      </w:r>
      <w:r w:rsidR="00B72FA9">
        <w:rPr>
          <w:rFonts w:ascii="Times New Roman" w:hAnsi="Times New Roman"/>
          <w:b/>
          <w:i w:val="0"/>
          <w:noProof/>
          <w:sz w:val="24"/>
          <w:szCs w:val="24"/>
        </w:rPr>
        <w:t>12</w:t>
      </w:r>
      <w:r w:rsidRPr="001A1BF8">
        <w:rPr>
          <w:rFonts w:ascii="Times New Roman" w:hAnsi="Times New Roman"/>
          <w:b/>
          <w:i w:val="0"/>
          <w:sz w:val="24"/>
          <w:szCs w:val="24"/>
        </w:rPr>
        <w:fldChar w:fldCharType="end"/>
      </w:r>
      <w:r w:rsidRPr="001A1BF8">
        <w:rPr>
          <w:rFonts w:ascii="Times New Roman" w:hAnsi="Times New Roman"/>
          <w:b/>
          <w:i w:val="0"/>
          <w:sz w:val="24"/>
          <w:szCs w:val="24"/>
        </w:rPr>
        <w:t>:</w:t>
      </w:r>
      <w:r w:rsidRPr="001A1BF8">
        <w:rPr>
          <w:rFonts w:ascii="Times New Roman" w:eastAsiaTheme="minorEastAsia" w:hAnsi="Times New Roman"/>
          <w:i w:val="0"/>
          <w:color w:val="000000" w:themeColor="text1"/>
          <w:sz w:val="24"/>
          <w:szCs w:val="24"/>
          <w:lang w:eastAsia="sk-SK"/>
        </w:rPr>
        <w:t xml:space="preserve"> </w:t>
      </w:r>
      <w:r w:rsidRPr="001A1BF8">
        <w:rPr>
          <w:rFonts w:ascii="Times New Roman" w:hAnsi="Times New Roman"/>
          <w:i w:val="0"/>
          <w:sz w:val="24"/>
          <w:szCs w:val="24"/>
        </w:rPr>
        <w:t>Trendy v 4 hlavných indikátoroch efektívneho využívania zdrojov.</w:t>
      </w:r>
      <w:bookmarkEnd w:id="68"/>
      <w:bookmarkEnd w:id="69"/>
      <w:r w:rsidRPr="001A1BF8">
        <w:rPr>
          <w:rFonts w:ascii="Times New Roman" w:hAnsi="Times New Roman"/>
          <w:i w:val="0"/>
          <w:sz w:val="24"/>
          <w:szCs w:val="24"/>
        </w:rPr>
        <w:t xml:space="preserve"> </w:t>
      </w:r>
      <w:r w:rsidR="00B07B0E" w:rsidRPr="001A1BF8">
        <w:rPr>
          <w:rFonts w:ascii="Times New Roman" w:hAnsi="Times New Roman"/>
          <w:i w:val="0"/>
          <w:sz w:val="24"/>
          <w:szCs w:val="24"/>
        </w:rPr>
        <w:t xml:space="preserve">Zdroj: </w:t>
      </w:r>
      <w:r w:rsidR="00B07B0E" w:rsidRPr="000B46A3">
        <w:rPr>
          <w:rFonts w:ascii="Times New Roman" w:hAnsi="Times New Roman"/>
          <w:i w:val="0"/>
          <w:sz w:val="24"/>
          <w:szCs w:val="24"/>
        </w:rPr>
        <w:t>Scenáre vývoja v životnom prostredí: udržateľný rast v kontexte ochrany biodiverzity a zmeny klímy? Bratislava: Centru spoločenských a psychologických vied, Slovenská akadémia vied, 2017.</w:t>
      </w:r>
      <w:bookmarkEnd w:id="70"/>
      <w:r w:rsidR="00B07B0E" w:rsidRPr="001A1BF8">
        <w:rPr>
          <w:rFonts w:ascii="Times New Roman" w:hAnsi="Times New Roman"/>
          <w:sz w:val="24"/>
          <w:szCs w:val="24"/>
        </w:rPr>
        <w:t xml:space="preserve"> </w:t>
      </w:r>
    </w:p>
    <w:p w14:paraId="50C38AE0" w14:textId="400B869C" w:rsidR="001E10E4" w:rsidRPr="001E10E4" w:rsidRDefault="001E10E4" w:rsidP="001E10E4"/>
    <w:p w14:paraId="54BCEC47" w14:textId="02E1E264" w:rsidR="001E10E4" w:rsidRDefault="001E10E4" w:rsidP="004635B8"/>
    <w:p w14:paraId="125C8D9B" w14:textId="683A11E1" w:rsidR="001E10E4" w:rsidRDefault="001E10E4" w:rsidP="00715F57">
      <w:pPr>
        <w:pStyle w:val="Nadpis3"/>
      </w:pPr>
      <w:bookmarkStart w:id="71" w:name="_Toc500706020"/>
      <w:r>
        <w:lastRenderedPageBreak/>
        <w:t>Príloha k téme 5</w:t>
      </w:r>
      <w:bookmarkEnd w:id="71"/>
    </w:p>
    <w:p w14:paraId="2EB6C130" w14:textId="341E2462" w:rsidR="001E10E4" w:rsidRDefault="001E10E4" w:rsidP="004635B8"/>
    <w:p w14:paraId="15F6CB32" w14:textId="77777777" w:rsidR="009960A5" w:rsidRPr="00022BCE" w:rsidRDefault="009960A5" w:rsidP="009960A5">
      <w:pPr>
        <w:keepNext/>
        <w:keepLines/>
      </w:pPr>
      <w:r w:rsidRPr="00F60149">
        <w:rPr>
          <w:rFonts w:asciiTheme="minorHAnsi" w:hAnsiTheme="minorHAnsi" w:cstheme="minorHAnsi"/>
          <w:noProof/>
          <w:sz w:val="22"/>
          <w:szCs w:val="22"/>
          <w:lang w:val="cs-CZ" w:eastAsia="cs-CZ"/>
        </w:rPr>
        <w:drawing>
          <wp:inline distT="0" distB="0" distL="0" distR="0" wp14:anchorId="529907C7" wp14:editId="5536957D">
            <wp:extent cx="5686425" cy="5600700"/>
            <wp:effectExtent l="0" t="0" r="9525" b="0"/>
            <wp:docPr id="36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37DDF835" w14:textId="633857A4" w:rsidR="009960A5" w:rsidRPr="005B4EAA" w:rsidRDefault="00B72FA9" w:rsidP="00B72FA9">
      <w:pPr>
        <w:rPr>
          <w:sz w:val="22"/>
          <w:szCs w:val="22"/>
        </w:rPr>
      </w:pPr>
      <w:bookmarkStart w:id="72" w:name="_Toc500705968"/>
      <w:r w:rsidRPr="0047245C">
        <w:rPr>
          <w:b/>
        </w:rPr>
        <w:t xml:space="preserve">Graf </w:t>
      </w:r>
      <w:r w:rsidRPr="0047245C">
        <w:rPr>
          <w:b/>
        </w:rPr>
        <w:fldChar w:fldCharType="begin"/>
      </w:r>
      <w:r w:rsidRPr="0047245C">
        <w:rPr>
          <w:b/>
        </w:rPr>
        <w:instrText xml:space="preserve"> SEQ Graf \* ARABIC </w:instrText>
      </w:r>
      <w:r w:rsidRPr="0047245C">
        <w:rPr>
          <w:b/>
        </w:rPr>
        <w:fldChar w:fldCharType="separate"/>
      </w:r>
      <w:r>
        <w:rPr>
          <w:b/>
          <w:noProof/>
        </w:rPr>
        <w:t>13</w:t>
      </w:r>
      <w:r w:rsidRPr="0047245C">
        <w:rPr>
          <w:b/>
        </w:rPr>
        <w:fldChar w:fldCharType="end"/>
      </w:r>
      <w:r w:rsidRPr="0047245C">
        <w:rPr>
          <w:b/>
        </w:rPr>
        <w:t>:</w:t>
      </w:r>
      <w:r w:rsidRPr="005B4EAA">
        <w:rPr>
          <w:b/>
        </w:rPr>
        <w:t xml:space="preserve"> </w:t>
      </w:r>
      <w:r>
        <w:t xml:space="preserve">Miera rizika chudoby v členských krajinách EÚ v percentách v rokoch 2014 a 2015. </w:t>
      </w:r>
      <w:r w:rsidR="009960A5" w:rsidRPr="005B4EAA">
        <w:rPr>
          <w:sz w:val="22"/>
          <w:szCs w:val="22"/>
        </w:rPr>
        <w:t>Zdroj: Eurostat</w:t>
      </w:r>
      <w:bookmarkEnd w:id="72"/>
    </w:p>
    <w:p w14:paraId="5987E830" w14:textId="77777777" w:rsidR="009960A5" w:rsidRDefault="009960A5" w:rsidP="009960A5"/>
    <w:p w14:paraId="25CAB349" w14:textId="77777777" w:rsidR="009960A5" w:rsidRPr="009960A5" w:rsidRDefault="009960A5" w:rsidP="009960A5">
      <w:pPr>
        <w:keepNext/>
        <w:keepLines/>
        <w:spacing w:line="276" w:lineRule="auto"/>
      </w:pPr>
      <w:r w:rsidRPr="009960A5">
        <w:rPr>
          <w:noProof/>
          <w:lang w:val="cs-CZ" w:eastAsia="cs-CZ"/>
        </w:rPr>
        <w:lastRenderedPageBreak/>
        <w:drawing>
          <wp:inline distT="0" distB="0" distL="0" distR="0" wp14:anchorId="5DE19436" wp14:editId="6D7D2C73">
            <wp:extent cx="5705475" cy="4905375"/>
            <wp:effectExtent l="0" t="0" r="9525" b="9525"/>
            <wp:docPr id="36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C4CB8DB" w14:textId="72EBA982" w:rsidR="009960A5" w:rsidRPr="009960A5" w:rsidRDefault="00B72FA9" w:rsidP="009960A5">
      <w:pPr>
        <w:keepNext/>
        <w:keepLines/>
        <w:spacing w:line="276" w:lineRule="auto"/>
      </w:pPr>
      <w:bookmarkStart w:id="73" w:name="_Toc500705969"/>
      <w:r w:rsidRPr="00B72FA9">
        <w:rPr>
          <w:b/>
        </w:rPr>
        <w:t xml:space="preserve">Graf </w:t>
      </w:r>
      <w:r w:rsidRPr="00B72FA9">
        <w:rPr>
          <w:b/>
        </w:rPr>
        <w:fldChar w:fldCharType="begin"/>
      </w:r>
      <w:r w:rsidRPr="00B72FA9">
        <w:rPr>
          <w:b/>
        </w:rPr>
        <w:instrText xml:space="preserve"> SEQ Graf \* ARABIC </w:instrText>
      </w:r>
      <w:r w:rsidRPr="00B72FA9">
        <w:rPr>
          <w:b/>
        </w:rPr>
        <w:fldChar w:fldCharType="separate"/>
      </w:r>
      <w:r>
        <w:rPr>
          <w:b/>
          <w:noProof/>
        </w:rPr>
        <w:t>14</w:t>
      </w:r>
      <w:r w:rsidRPr="00B72FA9">
        <w:rPr>
          <w:b/>
        </w:rPr>
        <w:fldChar w:fldCharType="end"/>
      </w:r>
      <w:r w:rsidRPr="00B72FA9">
        <w:rPr>
          <w:b/>
        </w:rPr>
        <w:t xml:space="preserve">: </w:t>
      </w:r>
      <w:r w:rsidRPr="00B72FA9">
        <w:t>Rozdiel v počte osôb v ohrození chudobou a sociálnym vylúčením za rok 2014 v jednotlivých členských štátoch (v porovnaní s rokom 2008, absolútne počty v tis.)</w:t>
      </w:r>
      <w:r>
        <w:t xml:space="preserve">. </w:t>
      </w:r>
      <w:r w:rsidR="009960A5" w:rsidRPr="009960A5">
        <w:t>Zdroj: Eurostat 2015</w:t>
      </w:r>
      <w:bookmarkEnd w:id="73"/>
    </w:p>
    <w:p w14:paraId="565C9262" w14:textId="77777777" w:rsidR="009960A5" w:rsidRDefault="009960A5" w:rsidP="009960A5"/>
    <w:p w14:paraId="386897F0" w14:textId="3A86431E" w:rsidR="009960A5" w:rsidRPr="009960A5" w:rsidRDefault="009960A5" w:rsidP="009960A5">
      <w:pPr>
        <w:keepNext/>
        <w:keepLines/>
        <w:rPr>
          <w:sz w:val="22"/>
          <w:szCs w:val="22"/>
        </w:rPr>
      </w:pPr>
      <w:bookmarkStart w:id="74" w:name="_Toc500705975"/>
      <w:r w:rsidRPr="00E91833">
        <w:rPr>
          <w:b/>
        </w:rPr>
        <w:t xml:space="preserve">Tabuľka </w:t>
      </w:r>
      <w:r w:rsidRPr="00E91833">
        <w:rPr>
          <w:i/>
        </w:rPr>
        <w:fldChar w:fldCharType="begin"/>
      </w:r>
      <w:r w:rsidRPr="00E91833">
        <w:rPr>
          <w:b/>
        </w:rPr>
        <w:instrText xml:space="preserve"> SEQ Tabuľka \* ARABIC </w:instrText>
      </w:r>
      <w:r w:rsidRPr="00E91833">
        <w:rPr>
          <w:i/>
        </w:rPr>
        <w:fldChar w:fldCharType="separate"/>
      </w:r>
      <w:r w:rsidR="00B72FA9">
        <w:rPr>
          <w:b/>
          <w:noProof/>
        </w:rPr>
        <w:t>6</w:t>
      </w:r>
      <w:r w:rsidRPr="00E91833">
        <w:rPr>
          <w:i/>
        </w:rPr>
        <w:fldChar w:fldCharType="end"/>
      </w:r>
      <w:r w:rsidRPr="00E91833">
        <w:rPr>
          <w:b/>
        </w:rPr>
        <w:t>:</w:t>
      </w:r>
      <w:r w:rsidRPr="00E91833">
        <w:t xml:space="preserve"> </w:t>
      </w:r>
      <w:r w:rsidRPr="009960A5">
        <w:rPr>
          <w:sz w:val="22"/>
          <w:szCs w:val="22"/>
        </w:rPr>
        <w:t>Vývoj ohrozenia obyvateľstva SR podľa rôznych ukazovateľov (%)</w:t>
      </w:r>
      <w:bookmarkEnd w:id="74"/>
      <w:r w:rsidRPr="009960A5">
        <w:rPr>
          <w:sz w:val="22"/>
          <w:szCs w:val="22"/>
        </w:rPr>
        <w:t xml:space="preserve"> </w:t>
      </w:r>
    </w:p>
    <w:tbl>
      <w:tblPr>
        <w:tblStyle w:val="Mkatabulky"/>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816"/>
        <w:gridCol w:w="597"/>
        <w:gridCol w:w="597"/>
        <w:gridCol w:w="597"/>
        <w:gridCol w:w="597"/>
        <w:gridCol w:w="597"/>
        <w:gridCol w:w="597"/>
        <w:gridCol w:w="592"/>
      </w:tblGrid>
      <w:tr w:rsidR="009960A5" w:rsidRPr="009960A5" w14:paraId="4BD85760" w14:textId="77777777" w:rsidTr="006A6D4B">
        <w:tc>
          <w:tcPr>
            <w:tcW w:w="2679" w:type="pct"/>
            <w:shd w:val="clear" w:color="auto" w:fill="FFFFFF" w:themeFill="background1"/>
            <w:tcMar>
              <w:left w:w="28" w:type="dxa"/>
              <w:right w:w="28" w:type="dxa"/>
            </w:tcMar>
            <w:vAlign w:val="center"/>
          </w:tcPr>
          <w:p w14:paraId="1F999FF7" w14:textId="77777777" w:rsidR="009960A5" w:rsidRPr="009960A5" w:rsidRDefault="009960A5" w:rsidP="009E5A1B">
            <w:pPr>
              <w:keepNext/>
              <w:keepLines/>
              <w:jc w:val="center"/>
              <w:rPr>
                <w:b/>
                <w:color w:val="auto"/>
                <w:sz w:val="22"/>
                <w:szCs w:val="22"/>
              </w:rPr>
            </w:pPr>
          </w:p>
        </w:tc>
        <w:tc>
          <w:tcPr>
            <w:tcW w:w="332" w:type="pct"/>
            <w:shd w:val="clear" w:color="auto" w:fill="FFFFFF" w:themeFill="background1"/>
            <w:tcMar>
              <w:left w:w="28" w:type="dxa"/>
              <w:right w:w="28" w:type="dxa"/>
            </w:tcMar>
            <w:vAlign w:val="center"/>
          </w:tcPr>
          <w:p w14:paraId="639A8F09" w14:textId="77777777" w:rsidR="009960A5" w:rsidRPr="009960A5" w:rsidRDefault="009960A5" w:rsidP="009960A5">
            <w:pPr>
              <w:keepNext/>
              <w:keepLines/>
              <w:jc w:val="center"/>
              <w:rPr>
                <w:b/>
                <w:color w:val="auto"/>
                <w:sz w:val="22"/>
                <w:szCs w:val="22"/>
              </w:rPr>
            </w:pPr>
            <w:r w:rsidRPr="009960A5">
              <w:rPr>
                <w:b/>
                <w:color w:val="auto"/>
                <w:sz w:val="22"/>
                <w:szCs w:val="22"/>
              </w:rPr>
              <w:t>2008</w:t>
            </w:r>
          </w:p>
        </w:tc>
        <w:tc>
          <w:tcPr>
            <w:tcW w:w="332" w:type="pct"/>
            <w:shd w:val="clear" w:color="auto" w:fill="FFFFFF" w:themeFill="background1"/>
            <w:tcMar>
              <w:left w:w="28" w:type="dxa"/>
              <w:right w:w="28" w:type="dxa"/>
            </w:tcMar>
            <w:vAlign w:val="center"/>
          </w:tcPr>
          <w:p w14:paraId="3B6E30F9" w14:textId="77777777" w:rsidR="009960A5" w:rsidRPr="009960A5" w:rsidRDefault="009960A5" w:rsidP="009960A5">
            <w:pPr>
              <w:keepNext/>
              <w:keepLines/>
              <w:jc w:val="center"/>
              <w:rPr>
                <w:b/>
                <w:color w:val="auto"/>
                <w:sz w:val="22"/>
                <w:szCs w:val="22"/>
              </w:rPr>
            </w:pPr>
            <w:r w:rsidRPr="009960A5">
              <w:rPr>
                <w:b/>
                <w:color w:val="auto"/>
                <w:sz w:val="22"/>
                <w:szCs w:val="22"/>
              </w:rPr>
              <w:t>2009</w:t>
            </w:r>
          </w:p>
        </w:tc>
        <w:tc>
          <w:tcPr>
            <w:tcW w:w="332" w:type="pct"/>
            <w:shd w:val="clear" w:color="auto" w:fill="FFFFFF" w:themeFill="background1"/>
            <w:tcMar>
              <w:left w:w="28" w:type="dxa"/>
              <w:right w:w="28" w:type="dxa"/>
            </w:tcMar>
            <w:vAlign w:val="center"/>
          </w:tcPr>
          <w:p w14:paraId="0D599F18" w14:textId="77777777" w:rsidR="009960A5" w:rsidRPr="009960A5" w:rsidRDefault="009960A5" w:rsidP="009960A5">
            <w:pPr>
              <w:keepNext/>
              <w:keepLines/>
              <w:jc w:val="center"/>
              <w:rPr>
                <w:b/>
                <w:color w:val="auto"/>
                <w:sz w:val="22"/>
                <w:szCs w:val="22"/>
              </w:rPr>
            </w:pPr>
            <w:r w:rsidRPr="009960A5">
              <w:rPr>
                <w:b/>
                <w:color w:val="auto"/>
                <w:sz w:val="22"/>
                <w:szCs w:val="22"/>
              </w:rPr>
              <w:t>2010</w:t>
            </w:r>
          </w:p>
        </w:tc>
        <w:tc>
          <w:tcPr>
            <w:tcW w:w="332" w:type="pct"/>
            <w:shd w:val="clear" w:color="auto" w:fill="FFFFFF" w:themeFill="background1"/>
            <w:tcMar>
              <w:left w:w="28" w:type="dxa"/>
              <w:right w:w="28" w:type="dxa"/>
            </w:tcMar>
            <w:vAlign w:val="center"/>
          </w:tcPr>
          <w:p w14:paraId="42391F01" w14:textId="77777777" w:rsidR="009960A5" w:rsidRPr="009960A5" w:rsidRDefault="009960A5" w:rsidP="009960A5">
            <w:pPr>
              <w:keepNext/>
              <w:keepLines/>
              <w:jc w:val="center"/>
              <w:rPr>
                <w:b/>
                <w:color w:val="auto"/>
                <w:sz w:val="22"/>
                <w:szCs w:val="22"/>
              </w:rPr>
            </w:pPr>
            <w:r w:rsidRPr="009960A5">
              <w:rPr>
                <w:b/>
                <w:color w:val="auto"/>
                <w:sz w:val="22"/>
                <w:szCs w:val="22"/>
              </w:rPr>
              <w:t>2011</w:t>
            </w:r>
          </w:p>
        </w:tc>
        <w:tc>
          <w:tcPr>
            <w:tcW w:w="332" w:type="pct"/>
            <w:shd w:val="clear" w:color="auto" w:fill="FFFFFF" w:themeFill="background1"/>
            <w:tcMar>
              <w:left w:w="28" w:type="dxa"/>
              <w:right w:w="28" w:type="dxa"/>
            </w:tcMar>
            <w:vAlign w:val="center"/>
          </w:tcPr>
          <w:p w14:paraId="2467478D" w14:textId="77777777" w:rsidR="009960A5" w:rsidRPr="009960A5" w:rsidRDefault="009960A5" w:rsidP="009960A5">
            <w:pPr>
              <w:keepNext/>
              <w:keepLines/>
              <w:jc w:val="center"/>
              <w:rPr>
                <w:b/>
                <w:color w:val="auto"/>
                <w:sz w:val="22"/>
                <w:szCs w:val="22"/>
              </w:rPr>
            </w:pPr>
            <w:r w:rsidRPr="009960A5">
              <w:rPr>
                <w:b/>
                <w:color w:val="auto"/>
                <w:sz w:val="22"/>
                <w:szCs w:val="22"/>
              </w:rPr>
              <w:t>2012</w:t>
            </w:r>
          </w:p>
        </w:tc>
        <w:tc>
          <w:tcPr>
            <w:tcW w:w="332" w:type="pct"/>
            <w:shd w:val="clear" w:color="auto" w:fill="FFFFFF" w:themeFill="background1"/>
            <w:tcMar>
              <w:left w:w="28" w:type="dxa"/>
              <w:right w:w="28" w:type="dxa"/>
            </w:tcMar>
            <w:vAlign w:val="center"/>
          </w:tcPr>
          <w:p w14:paraId="2930AC10" w14:textId="77777777" w:rsidR="009960A5" w:rsidRPr="009960A5" w:rsidRDefault="009960A5" w:rsidP="009960A5">
            <w:pPr>
              <w:keepNext/>
              <w:keepLines/>
              <w:jc w:val="center"/>
              <w:rPr>
                <w:b/>
                <w:color w:val="auto"/>
                <w:sz w:val="22"/>
                <w:szCs w:val="22"/>
              </w:rPr>
            </w:pPr>
            <w:r w:rsidRPr="009960A5">
              <w:rPr>
                <w:b/>
                <w:color w:val="auto"/>
                <w:sz w:val="22"/>
                <w:szCs w:val="22"/>
              </w:rPr>
              <w:t>2013</w:t>
            </w:r>
          </w:p>
        </w:tc>
        <w:tc>
          <w:tcPr>
            <w:tcW w:w="332" w:type="pct"/>
            <w:shd w:val="clear" w:color="auto" w:fill="FFFFFF" w:themeFill="background1"/>
            <w:tcMar>
              <w:left w:w="28" w:type="dxa"/>
              <w:right w:w="28" w:type="dxa"/>
            </w:tcMar>
            <w:vAlign w:val="center"/>
          </w:tcPr>
          <w:p w14:paraId="4B45B25C" w14:textId="77777777" w:rsidR="009960A5" w:rsidRPr="009960A5" w:rsidRDefault="009960A5" w:rsidP="009960A5">
            <w:pPr>
              <w:keepNext/>
              <w:keepLines/>
              <w:jc w:val="center"/>
              <w:rPr>
                <w:b/>
                <w:color w:val="auto"/>
                <w:sz w:val="22"/>
                <w:szCs w:val="22"/>
              </w:rPr>
            </w:pPr>
            <w:r w:rsidRPr="009960A5">
              <w:rPr>
                <w:b/>
                <w:color w:val="auto"/>
                <w:sz w:val="22"/>
                <w:szCs w:val="22"/>
              </w:rPr>
              <w:t>2014</w:t>
            </w:r>
          </w:p>
        </w:tc>
      </w:tr>
      <w:tr w:rsidR="009960A5" w:rsidRPr="009960A5" w14:paraId="3A8D8439" w14:textId="77777777" w:rsidTr="006A6D4B">
        <w:tc>
          <w:tcPr>
            <w:tcW w:w="2679" w:type="pct"/>
            <w:tcMar>
              <w:left w:w="28" w:type="dxa"/>
              <w:right w:w="28" w:type="dxa"/>
            </w:tcMar>
            <w:vAlign w:val="center"/>
          </w:tcPr>
          <w:p w14:paraId="2ED284B8" w14:textId="1E66B9E1" w:rsidR="009960A5" w:rsidRPr="009960A5" w:rsidRDefault="009960A5" w:rsidP="009E5A1B">
            <w:pPr>
              <w:keepNext/>
              <w:keepLines/>
              <w:rPr>
                <w:sz w:val="22"/>
                <w:szCs w:val="22"/>
              </w:rPr>
            </w:pPr>
            <w:r w:rsidRPr="009960A5">
              <w:rPr>
                <w:sz w:val="22"/>
                <w:szCs w:val="22"/>
              </w:rPr>
              <w:t>Miera rizika chudoby</w:t>
            </w:r>
          </w:p>
        </w:tc>
        <w:tc>
          <w:tcPr>
            <w:tcW w:w="332" w:type="pct"/>
            <w:tcMar>
              <w:left w:w="28" w:type="dxa"/>
              <w:right w:w="28" w:type="dxa"/>
            </w:tcMar>
            <w:vAlign w:val="center"/>
          </w:tcPr>
          <w:p w14:paraId="5D3A6148" w14:textId="77777777" w:rsidR="009960A5" w:rsidRPr="009960A5" w:rsidRDefault="009960A5" w:rsidP="009960A5">
            <w:pPr>
              <w:keepNext/>
              <w:keepLines/>
              <w:jc w:val="center"/>
              <w:rPr>
                <w:sz w:val="22"/>
                <w:szCs w:val="22"/>
              </w:rPr>
            </w:pPr>
            <w:r w:rsidRPr="009960A5">
              <w:rPr>
                <w:sz w:val="22"/>
                <w:szCs w:val="22"/>
              </w:rPr>
              <w:t>10,9</w:t>
            </w:r>
          </w:p>
        </w:tc>
        <w:tc>
          <w:tcPr>
            <w:tcW w:w="332" w:type="pct"/>
            <w:tcMar>
              <w:left w:w="28" w:type="dxa"/>
              <w:right w:w="28" w:type="dxa"/>
            </w:tcMar>
            <w:vAlign w:val="center"/>
          </w:tcPr>
          <w:p w14:paraId="23B2EA37" w14:textId="77777777" w:rsidR="009960A5" w:rsidRPr="009960A5" w:rsidRDefault="009960A5" w:rsidP="009960A5">
            <w:pPr>
              <w:keepNext/>
              <w:keepLines/>
              <w:jc w:val="center"/>
              <w:rPr>
                <w:sz w:val="22"/>
                <w:szCs w:val="22"/>
              </w:rPr>
            </w:pPr>
            <w:r w:rsidRPr="009960A5">
              <w:rPr>
                <w:sz w:val="22"/>
                <w:szCs w:val="22"/>
              </w:rPr>
              <w:t>11,0</w:t>
            </w:r>
          </w:p>
        </w:tc>
        <w:tc>
          <w:tcPr>
            <w:tcW w:w="332" w:type="pct"/>
            <w:tcMar>
              <w:left w:w="28" w:type="dxa"/>
              <w:right w:w="28" w:type="dxa"/>
            </w:tcMar>
            <w:vAlign w:val="center"/>
          </w:tcPr>
          <w:p w14:paraId="21CFF867" w14:textId="77777777" w:rsidR="009960A5" w:rsidRPr="009960A5" w:rsidRDefault="009960A5" w:rsidP="009960A5">
            <w:pPr>
              <w:keepNext/>
              <w:keepLines/>
              <w:jc w:val="center"/>
              <w:rPr>
                <w:sz w:val="22"/>
                <w:szCs w:val="22"/>
              </w:rPr>
            </w:pPr>
            <w:r w:rsidRPr="009960A5">
              <w:rPr>
                <w:sz w:val="22"/>
                <w:szCs w:val="22"/>
              </w:rPr>
              <w:t>12,0</w:t>
            </w:r>
          </w:p>
        </w:tc>
        <w:tc>
          <w:tcPr>
            <w:tcW w:w="332" w:type="pct"/>
            <w:tcMar>
              <w:left w:w="28" w:type="dxa"/>
              <w:right w:w="28" w:type="dxa"/>
            </w:tcMar>
            <w:vAlign w:val="center"/>
          </w:tcPr>
          <w:p w14:paraId="427958A4" w14:textId="77777777" w:rsidR="009960A5" w:rsidRPr="009960A5" w:rsidRDefault="009960A5" w:rsidP="009960A5">
            <w:pPr>
              <w:keepNext/>
              <w:keepLines/>
              <w:jc w:val="center"/>
              <w:rPr>
                <w:sz w:val="22"/>
                <w:szCs w:val="22"/>
              </w:rPr>
            </w:pPr>
            <w:r w:rsidRPr="009960A5">
              <w:rPr>
                <w:sz w:val="22"/>
                <w:szCs w:val="22"/>
              </w:rPr>
              <w:t>13,0</w:t>
            </w:r>
          </w:p>
        </w:tc>
        <w:tc>
          <w:tcPr>
            <w:tcW w:w="332" w:type="pct"/>
            <w:tcMar>
              <w:left w:w="28" w:type="dxa"/>
              <w:right w:w="28" w:type="dxa"/>
            </w:tcMar>
            <w:vAlign w:val="center"/>
          </w:tcPr>
          <w:p w14:paraId="444A6185" w14:textId="77777777" w:rsidR="009960A5" w:rsidRPr="009960A5" w:rsidRDefault="009960A5" w:rsidP="009960A5">
            <w:pPr>
              <w:keepNext/>
              <w:keepLines/>
              <w:jc w:val="center"/>
              <w:rPr>
                <w:sz w:val="22"/>
                <w:szCs w:val="22"/>
              </w:rPr>
            </w:pPr>
            <w:r w:rsidRPr="009960A5">
              <w:rPr>
                <w:sz w:val="22"/>
                <w:szCs w:val="22"/>
              </w:rPr>
              <w:t>13,2</w:t>
            </w:r>
          </w:p>
        </w:tc>
        <w:tc>
          <w:tcPr>
            <w:tcW w:w="332" w:type="pct"/>
            <w:tcMar>
              <w:left w:w="28" w:type="dxa"/>
              <w:right w:w="28" w:type="dxa"/>
            </w:tcMar>
            <w:vAlign w:val="center"/>
          </w:tcPr>
          <w:p w14:paraId="748C1244" w14:textId="77777777" w:rsidR="009960A5" w:rsidRPr="009960A5" w:rsidRDefault="009960A5" w:rsidP="009960A5">
            <w:pPr>
              <w:keepNext/>
              <w:keepLines/>
              <w:jc w:val="center"/>
              <w:rPr>
                <w:sz w:val="22"/>
                <w:szCs w:val="22"/>
              </w:rPr>
            </w:pPr>
            <w:r w:rsidRPr="009960A5">
              <w:rPr>
                <w:sz w:val="22"/>
                <w:szCs w:val="22"/>
              </w:rPr>
              <w:t>12,8</w:t>
            </w:r>
          </w:p>
        </w:tc>
        <w:tc>
          <w:tcPr>
            <w:tcW w:w="332" w:type="pct"/>
            <w:tcMar>
              <w:left w:w="28" w:type="dxa"/>
              <w:right w:w="28" w:type="dxa"/>
            </w:tcMar>
            <w:vAlign w:val="center"/>
          </w:tcPr>
          <w:p w14:paraId="3CA5AA92" w14:textId="77777777" w:rsidR="009960A5" w:rsidRPr="009960A5" w:rsidRDefault="009960A5" w:rsidP="009960A5">
            <w:pPr>
              <w:keepNext/>
              <w:keepLines/>
              <w:jc w:val="center"/>
              <w:rPr>
                <w:sz w:val="22"/>
                <w:szCs w:val="22"/>
              </w:rPr>
            </w:pPr>
            <w:r w:rsidRPr="009960A5">
              <w:rPr>
                <w:sz w:val="22"/>
                <w:szCs w:val="22"/>
              </w:rPr>
              <w:t>12,6</w:t>
            </w:r>
          </w:p>
        </w:tc>
      </w:tr>
      <w:tr w:rsidR="009960A5" w:rsidRPr="009960A5" w14:paraId="20E92D22" w14:textId="77777777" w:rsidTr="006A6D4B">
        <w:tc>
          <w:tcPr>
            <w:tcW w:w="2679" w:type="pct"/>
            <w:tcMar>
              <w:left w:w="28" w:type="dxa"/>
              <w:right w:w="28" w:type="dxa"/>
            </w:tcMar>
            <w:vAlign w:val="center"/>
          </w:tcPr>
          <w:p w14:paraId="621648BC" w14:textId="77777777" w:rsidR="009960A5" w:rsidRPr="009960A5" w:rsidRDefault="009960A5" w:rsidP="009E5A1B">
            <w:pPr>
              <w:keepNext/>
              <w:keepLines/>
              <w:rPr>
                <w:sz w:val="22"/>
                <w:szCs w:val="22"/>
              </w:rPr>
            </w:pPr>
            <w:r w:rsidRPr="009960A5">
              <w:rPr>
                <w:sz w:val="22"/>
                <w:szCs w:val="22"/>
              </w:rPr>
              <w:t>Miera závažnej materiálnej deprivácie</w:t>
            </w:r>
          </w:p>
        </w:tc>
        <w:tc>
          <w:tcPr>
            <w:tcW w:w="332" w:type="pct"/>
            <w:tcMar>
              <w:left w:w="28" w:type="dxa"/>
              <w:right w:w="28" w:type="dxa"/>
            </w:tcMar>
            <w:vAlign w:val="center"/>
          </w:tcPr>
          <w:p w14:paraId="0BF13FD3" w14:textId="77777777" w:rsidR="009960A5" w:rsidRPr="009960A5" w:rsidRDefault="009960A5" w:rsidP="009960A5">
            <w:pPr>
              <w:keepNext/>
              <w:keepLines/>
              <w:jc w:val="center"/>
              <w:rPr>
                <w:sz w:val="22"/>
                <w:szCs w:val="22"/>
              </w:rPr>
            </w:pPr>
            <w:r w:rsidRPr="009960A5">
              <w:rPr>
                <w:sz w:val="22"/>
                <w:szCs w:val="22"/>
              </w:rPr>
              <w:t>11,8</w:t>
            </w:r>
          </w:p>
        </w:tc>
        <w:tc>
          <w:tcPr>
            <w:tcW w:w="332" w:type="pct"/>
            <w:tcMar>
              <w:left w:w="28" w:type="dxa"/>
              <w:right w:w="28" w:type="dxa"/>
            </w:tcMar>
            <w:vAlign w:val="center"/>
          </w:tcPr>
          <w:p w14:paraId="412A27DE" w14:textId="77777777" w:rsidR="009960A5" w:rsidRPr="009960A5" w:rsidRDefault="009960A5" w:rsidP="009960A5">
            <w:pPr>
              <w:keepNext/>
              <w:keepLines/>
              <w:jc w:val="center"/>
              <w:rPr>
                <w:sz w:val="22"/>
                <w:szCs w:val="22"/>
              </w:rPr>
            </w:pPr>
            <w:r w:rsidRPr="009960A5">
              <w:rPr>
                <w:sz w:val="22"/>
                <w:szCs w:val="22"/>
              </w:rPr>
              <w:t>11,1</w:t>
            </w:r>
          </w:p>
        </w:tc>
        <w:tc>
          <w:tcPr>
            <w:tcW w:w="332" w:type="pct"/>
            <w:tcMar>
              <w:left w:w="28" w:type="dxa"/>
              <w:right w:w="28" w:type="dxa"/>
            </w:tcMar>
            <w:vAlign w:val="center"/>
          </w:tcPr>
          <w:p w14:paraId="09483B8E" w14:textId="77777777" w:rsidR="009960A5" w:rsidRPr="009960A5" w:rsidRDefault="009960A5" w:rsidP="009960A5">
            <w:pPr>
              <w:keepNext/>
              <w:keepLines/>
              <w:jc w:val="center"/>
              <w:rPr>
                <w:sz w:val="22"/>
                <w:szCs w:val="22"/>
              </w:rPr>
            </w:pPr>
            <w:r w:rsidRPr="009960A5">
              <w:rPr>
                <w:sz w:val="22"/>
                <w:szCs w:val="22"/>
              </w:rPr>
              <w:t>11,4</w:t>
            </w:r>
          </w:p>
        </w:tc>
        <w:tc>
          <w:tcPr>
            <w:tcW w:w="332" w:type="pct"/>
            <w:tcMar>
              <w:left w:w="28" w:type="dxa"/>
              <w:right w:w="28" w:type="dxa"/>
            </w:tcMar>
            <w:vAlign w:val="center"/>
          </w:tcPr>
          <w:p w14:paraId="33216A23" w14:textId="77777777" w:rsidR="009960A5" w:rsidRPr="009960A5" w:rsidRDefault="009960A5" w:rsidP="009960A5">
            <w:pPr>
              <w:keepNext/>
              <w:keepLines/>
              <w:jc w:val="center"/>
              <w:rPr>
                <w:sz w:val="22"/>
                <w:szCs w:val="22"/>
              </w:rPr>
            </w:pPr>
            <w:r w:rsidRPr="009960A5">
              <w:rPr>
                <w:sz w:val="22"/>
                <w:szCs w:val="22"/>
              </w:rPr>
              <w:t>10,6</w:t>
            </w:r>
          </w:p>
        </w:tc>
        <w:tc>
          <w:tcPr>
            <w:tcW w:w="332" w:type="pct"/>
            <w:tcMar>
              <w:left w:w="28" w:type="dxa"/>
              <w:right w:w="28" w:type="dxa"/>
            </w:tcMar>
            <w:vAlign w:val="center"/>
          </w:tcPr>
          <w:p w14:paraId="23F1995B" w14:textId="77777777" w:rsidR="009960A5" w:rsidRPr="009960A5" w:rsidRDefault="009960A5" w:rsidP="009960A5">
            <w:pPr>
              <w:keepNext/>
              <w:keepLines/>
              <w:jc w:val="center"/>
              <w:rPr>
                <w:sz w:val="22"/>
                <w:szCs w:val="22"/>
              </w:rPr>
            </w:pPr>
            <w:r w:rsidRPr="009960A5">
              <w:rPr>
                <w:sz w:val="22"/>
                <w:szCs w:val="22"/>
              </w:rPr>
              <w:t>10,5</w:t>
            </w:r>
          </w:p>
        </w:tc>
        <w:tc>
          <w:tcPr>
            <w:tcW w:w="332" w:type="pct"/>
            <w:tcMar>
              <w:left w:w="28" w:type="dxa"/>
              <w:right w:w="28" w:type="dxa"/>
            </w:tcMar>
            <w:vAlign w:val="center"/>
          </w:tcPr>
          <w:p w14:paraId="06950D55" w14:textId="77777777" w:rsidR="009960A5" w:rsidRPr="009960A5" w:rsidRDefault="009960A5" w:rsidP="009960A5">
            <w:pPr>
              <w:keepNext/>
              <w:keepLines/>
              <w:jc w:val="center"/>
              <w:rPr>
                <w:sz w:val="22"/>
                <w:szCs w:val="22"/>
              </w:rPr>
            </w:pPr>
            <w:r w:rsidRPr="009960A5">
              <w:rPr>
                <w:sz w:val="22"/>
                <w:szCs w:val="22"/>
              </w:rPr>
              <w:t>10,2</w:t>
            </w:r>
          </w:p>
        </w:tc>
        <w:tc>
          <w:tcPr>
            <w:tcW w:w="332" w:type="pct"/>
            <w:tcMar>
              <w:left w:w="28" w:type="dxa"/>
              <w:right w:w="28" w:type="dxa"/>
            </w:tcMar>
            <w:vAlign w:val="center"/>
          </w:tcPr>
          <w:p w14:paraId="1F2D1E1E" w14:textId="77777777" w:rsidR="009960A5" w:rsidRPr="009960A5" w:rsidRDefault="009960A5" w:rsidP="009960A5">
            <w:pPr>
              <w:keepNext/>
              <w:keepLines/>
              <w:jc w:val="center"/>
              <w:rPr>
                <w:sz w:val="22"/>
                <w:szCs w:val="22"/>
              </w:rPr>
            </w:pPr>
            <w:r w:rsidRPr="009960A5">
              <w:rPr>
                <w:sz w:val="22"/>
                <w:szCs w:val="22"/>
              </w:rPr>
              <w:t>9,9</w:t>
            </w:r>
          </w:p>
        </w:tc>
      </w:tr>
      <w:tr w:rsidR="009960A5" w:rsidRPr="009960A5" w14:paraId="275C7B3E" w14:textId="77777777" w:rsidTr="006A6D4B">
        <w:tc>
          <w:tcPr>
            <w:tcW w:w="2679" w:type="pct"/>
            <w:tcMar>
              <w:left w:w="28" w:type="dxa"/>
              <w:right w:w="28" w:type="dxa"/>
            </w:tcMar>
            <w:vAlign w:val="center"/>
          </w:tcPr>
          <w:p w14:paraId="2C7528BA" w14:textId="77777777" w:rsidR="009960A5" w:rsidRPr="009960A5" w:rsidRDefault="009960A5" w:rsidP="009E5A1B">
            <w:pPr>
              <w:keepNext/>
              <w:keepLines/>
              <w:rPr>
                <w:sz w:val="22"/>
                <w:szCs w:val="22"/>
              </w:rPr>
            </w:pPr>
            <w:r w:rsidRPr="009960A5">
              <w:rPr>
                <w:sz w:val="22"/>
                <w:szCs w:val="22"/>
              </w:rPr>
              <w:t>Veľmi nízka intenzita práce</w:t>
            </w:r>
          </w:p>
        </w:tc>
        <w:tc>
          <w:tcPr>
            <w:tcW w:w="332" w:type="pct"/>
            <w:tcMar>
              <w:left w:w="28" w:type="dxa"/>
              <w:right w:w="28" w:type="dxa"/>
            </w:tcMar>
            <w:vAlign w:val="center"/>
          </w:tcPr>
          <w:p w14:paraId="25A823F7" w14:textId="77777777" w:rsidR="009960A5" w:rsidRPr="009960A5" w:rsidRDefault="009960A5" w:rsidP="009960A5">
            <w:pPr>
              <w:keepNext/>
              <w:keepLines/>
              <w:jc w:val="center"/>
              <w:rPr>
                <w:sz w:val="22"/>
                <w:szCs w:val="22"/>
              </w:rPr>
            </w:pPr>
            <w:r w:rsidRPr="009960A5">
              <w:rPr>
                <w:sz w:val="22"/>
                <w:szCs w:val="22"/>
              </w:rPr>
              <w:t>5,2</w:t>
            </w:r>
          </w:p>
        </w:tc>
        <w:tc>
          <w:tcPr>
            <w:tcW w:w="332" w:type="pct"/>
            <w:tcMar>
              <w:left w:w="28" w:type="dxa"/>
              <w:right w:w="28" w:type="dxa"/>
            </w:tcMar>
            <w:vAlign w:val="center"/>
          </w:tcPr>
          <w:p w14:paraId="3E787DA4" w14:textId="77777777" w:rsidR="009960A5" w:rsidRPr="009960A5" w:rsidRDefault="009960A5" w:rsidP="009960A5">
            <w:pPr>
              <w:keepNext/>
              <w:keepLines/>
              <w:jc w:val="center"/>
              <w:rPr>
                <w:sz w:val="22"/>
                <w:szCs w:val="22"/>
              </w:rPr>
            </w:pPr>
            <w:r w:rsidRPr="009960A5">
              <w:rPr>
                <w:sz w:val="22"/>
                <w:szCs w:val="22"/>
              </w:rPr>
              <w:t>5,6</w:t>
            </w:r>
          </w:p>
        </w:tc>
        <w:tc>
          <w:tcPr>
            <w:tcW w:w="332" w:type="pct"/>
            <w:tcMar>
              <w:left w:w="28" w:type="dxa"/>
              <w:right w:w="28" w:type="dxa"/>
            </w:tcMar>
            <w:vAlign w:val="center"/>
          </w:tcPr>
          <w:p w14:paraId="2F78DE49" w14:textId="77777777" w:rsidR="009960A5" w:rsidRPr="009960A5" w:rsidRDefault="009960A5" w:rsidP="009960A5">
            <w:pPr>
              <w:keepNext/>
              <w:keepLines/>
              <w:jc w:val="center"/>
              <w:rPr>
                <w:sz w:val="22"/>
                <w:szCs w:val="22"/>
              </w:rPr>
            </w:pPr>
            <w:r w:rsidRPr="009960A5">
              <w:rPr>
                <w:sz w:val="22"/>
                <w:szCs w:val="22"/>
              </w:rPr>
              <w:t>7,9</w:t>
            </w:r>
          </w:p>
        </w:tc>
        <w:tc>
          <w:tcPr>
            <w:tcW w:w="332" w:type="pct"/>
            <w:tcMar>
              <w:left w:w="28" w:type="dxa"/>
              <w:right w:w="28" w:type="dxa"/>
            </w:tcMar>
            <w:vAlign w:val="center"/>
          </w:tcPr>
          <w:p w14:paraId="4AF46AF7" w14:textId="77777777" w:rsidR="009960A5" w:rsidRPr="009960A5" w:rsidRDefault="009960A5" w:rsidP="009960A5">
            <w:pPr>
              <w:keepNext/>
              <w:keepLines/>
              <w:jc w:val="center"/>
              <w:rPr>
                <w:sz w:val="22"/>
                <w:szCs w:val="22"/>
              </w:rPr>
            </w:pPr>
            <w:r w:rsidRPr="009960A5">
              <w:rPr>
                <w:sz w:val="22"/>
                <w:szCs w:val="22"/>
              </w:rPr>
              <w:t>7,7</w:t>
            </w:r>
          </w:p>
        </w:tc>
        <w:tc>
          <w:tcPr>
            <w:tcW w:w="332" w:type="pct"/>
            <w:tcMar>
              <w:left w:w="28" w:type="dxa"/>
              <w:right w:w="28" w:type="dxa"/>
            </w:tcMar>
            <w:vAlign w:val="center"/>
          </w:tcPr>
          <w:p w14:paraId="1DB85468" w14:textId="77777777" w:rsidR="009960A5" w:rsidRPr="009960A5" w:rsidRDefault="009960A5" w:rsidP="009960A5">
            <w:pPr>
              <w:keepNext/>
              <w:keepLines/>
              <w:jc w:val="center"/>
              <w:rPr>
                <w:sz w:val="22"/>
                <w:szCs w:val="22"/>
              </w:rPr>
            </w:pPr>
            <w:r w:rsidRPr="009960A5">
              <w:rPr>
                <w:sz w:val="22"/>
                <w:szCs w:val="22"/>
              </w:rPr>
              <w:t>7,2</w:t>
            </w:r>
          </w:p>
        </w:tc>
        <w:tc>
          <w:tcPr>
            <w:tcW w:w="332" w:type="pct"/>
            <w:tcMar>
              <w:left w:w="28" w:type="dxa"/>
              <w:right w:w="28" w:type="dxa"/>
            </w:tcMar>
            <w:vAlign w:val="center"/>
          </w:tcPr>
          <w:p w14:paraId="438AE8FB" w14:textId="77777777" w:rsidR="009960A5" w:rsidRPr="009960A5" w:rsidRDefault="009960A5" w:rsidP="009960A5">
            <w:pPr>
              <w:keepNext/>
              <w:keepLines/>
              <w:jc w:val="center"/>
              <w:rPr>
                <w:sz w:val="22"/>
                <w:szCs w:val="22"/>
              </w:rPr>
            </w:pPr>
            <w:r w:rsidRPr="009960A5">
              <w:rPr>
                <w:sz w:val="22"/>
                <w:szCs w:val="22"/>
              </w:rPr>
              <w:t>7,6</w:t>
            </w:r>
          </w:p>
        </w:tc>
        <w:tc>
          <w:tcPr>
            <w:tcW w:w="332" w:type="pct"/>
            <w:tcMar>
              <w:left w:w="28" w:type="dxa"/>
              <w:right w:w="28" w:type="dxa"/>
            </w:tcMar>
            <w:vAlign w:val="center"/>
          </w:tcPr>
          <w:p w14:paraId="4318BECC" w14:textId="77777777" w:rsidR="009960A5" w:rsidRPr="009960A5" w:rsidRDefault="009960A5" w:rsidP="009960A5">
            <w:pPr>
              <w:keepNext/>
              <w:keepLines/>
              <w:jc w:val="center"/>
              <w:rPr>
                <w:sz w:val="22"/>
                <w:szCs w:val="22"/>
              </w:rPr>
            </w:pPr>
            <w:r w:rsidRPr="009960A5">
              <w:rPr>
                <w:sz w:val="22"/>
                <w:szCs w:val="22"/>
              </w:rPr>
              <w:t>7,1</w:t>
            </w:r>
          </w:p>
        </w:tc>
      </w:tr>
      <w:tr w:rsidR="009960A5" w:rsidRPr="009960A5" w14:paraId="1F124B48" w14:textId="77777777" w:rsidTr="006A6D4B">
        <w:tc>
          <w:tcPr>
            <w:tcW w:w="2679" w:type="pct"/>
            <w:tcMar>
              <w:left w:w="28" w:type="dxa"/>
              <w:right w:w="28" w:type="dxa"/>
            </w:tcMar>
            <w:vAlign w:val="center"/>
          </w:tcPr>
          <w:p w14:paraId="21F0B8EA" w14:textId="77777777" w:rsidR="009960A5" w:rsidRPr="009960A5" w:rsidRDefault="009960A5" w:rsidP="009E5A1B">
            <w:pPr>
              <w:keepNext/>
              <w:keepLines/>
              <w:rPr>
                <w:sz w:val="22"/>
                <w:szCs w:val="22"/>
              </w:rPr>
            </w:pPr>
            <w:r w:rsidRPr="009960A5">
              <w:rPr>
                <w:sz w:val="22"/>
                <w:szCs w:val="22"/>
              </w:rPr>
              <w:t>Miera rizika chudoby a sociálneho vylúčenia</w:t>
            </w:r>
          </w:p>
        </w:tc>
        <w:tc>
          <w:tcPr>
            <w:tcW w:w="332" w:type="pct"/>
            <w:tcMar>
              <w:left w:w="28" w:type="dxa"/>
              <w:right w:w="28" w:type="dxa"/>
            </w:tcMar>
            <w:vAlign w:val="center"/>
          </w:tcPr>
          <w:p w14:paraId="2AF2B61C" w14:textId="77777777" w:rsidR="009960A5" w:rsidRPr="009960A5" w:rsidRDefault="009960A5" w:rsidP="009960A5">
            <w:pPr>
              <w:keepNext/>
              <w:keepLines/>
              <w:jc w:val="center"/>
              <w:rPr>
                <w:sz w:val="22"/>
                <w:szCs w:val="22"/>
              </w:rPr>
            </w:pPr>
            <w:r w:rsidRPr="009960A5">
              <w:rPr>
                <w:sz w:val="22"/>
                <w:szCs w:val="22"/>
              </w:rPr>
              <w:t>20,6</w:t>
            </w:r>
          </w:p>
        </w:tc>
        <w:tc>
          <w:tcPr>
            <w:tcW w:w="332" w:type="pct"/>
            <w:tcMar>
              <w:left w:w="28" w:type="dxa"/>
              <w:right w:w="28" w:type="dxa"/>
            </w:tcMar>
            <w:vAlign w:val="center"/>
          </w:tcPr>
          <w:p w14:paraId="3C41267D" w14:textId="77777777" w:rsidR="009960A5" w:rsidRPr="009960A5" w:rsidRDefault="009960A5" w:rsidP="009960A5">
            <w:pPr>
              <w:keepNext/>
              <w:keepLines/>
              <w:jc w:val="center"/>
              <w:rPr>
                <w:sz w:val="22"/>
                <w:szCs w:val="22"/>
              </w:rPr>
            </w:pPr>
            <w:r w:rsidRPr="009960A5">
              <w:rPr>
                <w:sz w:val="22"/>
                <w:szCs w:val="22"/>
              </w:rPr>
              <w:t>19,6</w:t>
            </w:r>
          </w:p>
        </w:tc>
        <w:tc>
          <w:tcPr>
            <w:tcW w:w="332" w:type="pct"/>
            <w:tcMar>
              <w:left w:w="28" w:type="dxa"/>
              <w:right w:w="28" w:type="dxa"/>
            </w:tcMar>
            <w:vAlign w:val="center"/>
          </w:tcPr>
          <w:p w14:paraId="2A6E6CD7" w14:textId="77777777" w:rsidR="009960A5" w:rsidRPr="009960A5" w:rsidRDefault="009960A5" w:rsidP="009960A5">
            <w:pPr>
              <w:keepNext/>
              <w:keepLines/>
              <w:jc w:val="center"/>
              <w:rPr>
                <w:sz w:val="22"/>
                <w:szCs w:val="22"/>
              </w:rPr>
            </w:pPr>
            <w:r w:rsidRPr="009960A5">
              <w:rPr>
                <w:sz w:val="22"/>
                <w:szCs w:val="22"/>
              </w:rPr>
              <w:t>20,6</w:t>
            </w:r>
          </w:p>
        </w:tc>
        <w:tc>
          <w:tcPr>
            <w:tcW w:w="332" w:type="pct"/>
            <w:tcMar>
              <w:left w:w="28" w:type="dxa"/>
              <w:right w:w="28" w:type="dxa"/>
            </w:tcMar>
            <w:vAlign w:val="center"/>
          </w:tcPr>
          <w:p w14:paraId="69524F5E" w14:textId="77777777" w:rsidR="009960A5" w:rsidRPr="009960A5" w:rsidRDefault="009960A5" w:rsidP="009960A5">
            <w:pPr>
              <w:keepNext/>
              <w:keepLines/>
              <w:jc w:val="center"/>
              <w:rPr>
                <w:sz w:val="22"/>
                <w:szCs w:val="22"/>
              </w:rPr>
            </w:pPr>
            <w:r w:rsidRPr="009960A5">
              <w:rPr>
                <w:sz w:val="22"/>
                <w:szCs w:val="22"/>
              </w:rPr>
              <w:t>20,6</w:t>
            </w:r>
          </w:p>
        </w:tc>
        <w:tc>
          <w:tcPr>
            <w:tcW w:w="332" w:type="pct"/>
            <w:tcMar>
              <w:left w:w="28" w:type="dxa"/>
              <w:right w:w="28" w:type="dxa"/>
            </w:tcMar>
            <w:vAlign w:val="center"/>
          </w:tcPr>
          <w:p w14:paraId="15BBAC22" w14:textId="77777777" w:rsidR="009960A5" w:rsidRPr="009960A5" w:rsidRDefault="009960A5" w:rsidP="009960A5">
            <w:pPr>
              <w:keepNext/>
              <w:keepLines/>
              <w:jc w:val="center"/>
              <w:rPr>
                <w:sz w:val="22"/>
                <w:szCs w:val="22"/>
              </w:rPr>
            </w:pPr>
            <w:r w:rsidRPr="009960A5">
              <w:rPr>
                <w:sz w:val="22"/>
                <w:szCs w:val="22"/>
              </w:rPr>
              <w:t>20,5</w:t>
            </w:r>
          </w:p>
        </w:tc>
        <w:tc>
          <w:tcPr>
            <w:tcW w:w="332" w:type="pct"/>
            <w:tcMar>
              <w:left w:w="28" w:type="dxa"/>
              <w:right w:w="28" w:type="dxa"/>
            </w:tcMar>
            <w:vAlign w:val="center"/>
          </w:tcPr>
          <w:p w14:paraId="5BC745CE" w14:textId="77777777" w:rsidR="009960A5" w:rsidRPr="009960A5" w:rsidRDefault="009960A5" w:rsidP="009960A5">
            <w:pPr>
              <w:keepNext/>
              <w:keepLines/>
              <w:jc w:val="center"/>
              <w:rPr>
                <w:sz w:val="22"/>
                <w:szCs w:val="22"/>
              </w:rPr>
            </w:pPr>
            <w:r w:rsidRPr="009960A5">
              <w:rPr>
                <w:sz w:val="22"/>
                <w:szCs w:val="22"/>
              </w:rPr>
              <w:t>19,8</w:t>
            </w:r>
          </w:p>
        </w:tc>
        <w:tc>
          <w:tcPr>
            <w:tcW w:w="332" w:type="pct"/>
            <w:tcMar>
              <w:left w:w="28" w:type="dxa"/>
              <w:right w:w="28" w:type="dxa"/>
            </w:tcMar>
            <w:vAlign w:val="center"/>
          </w:tcPr>
          <w:p w14:paraId="06CDC52F" w14:textId="77777777" w:rsidR="009960A5" w:rsidRPr="009960A5" w:rsidRDefault="009960A5" w:rsidP="009960A5">
            <w:pPr>
              <w:keepNext/>
              <w:keepLines/>
              <w:jc w:val="center"/>
              <w:rPr>
                <w:sz w:val="22"/>
                <w:szCs w:val="22"/>
              </w:rPr>
            </w:pPr>
            <w:r w:rsidRPr="009960A5">
              <w:rPr>
                <w:sz w:val="22"/>
                <w:szCs w:val="22"/>
              </w:rPr>
              <w:t>18,4</w:t>
            </w:r>
          </w:p>
        </w:tc>
      </w:tr>
    </w:tbl>
    <w:p w14:paraId="1BDECD45" w14:textId="77777777" w:rsidR="009960A5" w:rsidRPr="009960A5" w:rsidRDefault="009960A5" w:rsidP="009960A5">
      <w:pPr>
        <w:keepNext/>
        <w:keepLines/>
        <w:rPr>
          <w:sz w:val="22"/>
          <w:szCs w:val="22"/>
        </w:rPr>
      </w:pPr>
      <w:r w:rsidRPr="009960A5">
        <w:rPr>
          <w:sz w:val="22"/>
          <w:szCs w:val="22"/>
        </w:rPr>
        <w:t>Zdroj. EU SILC, ŠÚ</w:t>
      </w:r>
    </w:p>
    <w:p w14:paraId="4D7587D0" w14:textId="77777777" w:rsidR="009960A5" w:rsidRDefault="009960A5" w:rsidP="009960A5"/>
    <w:p w14:paraId="5F4CFA32" w14:textId="42941496" w:rsidR="00A653FE" w:rsidRDefault="00A653FE" w:rsidP="00A653FE">
      <w:pPr>
        <w:pStyle w:val="Zkladntext"/>
      </w:pPr>
    </w:p>
    <w:p w14:paraId="471717F7" w14:textId="77777777" w:rsidR="006A6D4B" w:rsidRDefault="006A6D4B">
      <w:pPr>
        <w:spacing w:after="0"/>
        <w:jc w:val="left"/>
        <w:rPr>
          <w:rFonts w:ascii="Cambria" w:eastAsiaTheme="majorEastAsia" w:hAnsi="Cambria"/>
          <w:b/>
          <w:bCs w:val="0"/>
          <w:color w:val="1F4E79" w:themeColor="accent5" w:themeShade="80"/>
          <w:sz w:val="32"/>
          <w:szCs w:val="32"/>
        </w:rPr>
      </w:pPr>
      <w:bookmarkStart w:id="75" w:name="_Toc499010016"/>
      <w:bookmarkStart w:id="76" w:name="_Toc499227667"/>
      <w:r>
        <w:br w:type="page"/>
      </w:r>
    </w:p>
    <w:p w14:paraId="272F5B42" w14:textId="5B94ABA6" w:rsidR="00A653FE" w:rsidRPr="007D5414" w:rsidRDefault="00A653FE" w:rsidP="007D5414">
      <w:pPr>
        <w:pStyle w:val="Nadpis2"/>
        <w:tabs>
          <w:tab w:val="num" w:pos="0"/>
        </w:tabs>
        <w:spacing w:before="400" w:after="0" w:line="320" w:lineRule="exact"/>
        <w:jc w:val="left"/>
      </w:pPr>
      <w:bookmarkStart w:id="77" w:name="_Toc500706021"/>
      <w:r w:rsidRPr="001F6A9E">
        <w:lastRenderedPageBreak/>
        <w:t xml:space="preserve">Zoznam </w:t>
      </w:r>
      <w:r>
        <w:t>tabuliek</w:t>
      </w:r>
      <w:bookmarkEnd w:id="75"/>
      <w:bookmarkEnd w:id="76"/>
      <w:bookmarkEnd w:id="77"/>
    </w:p>
    <w:p w14:paraId="48606B2B" w14:textId="77777777" w:rsidR="00AE5A9F" w:rsidRDefault="00A653FE">
      <w:pPr>
        <w:pStyle w:val="Seznamobrzk"/>
        <w:tabs>
          <w:tab w:val="right" w:leader="dot" w:pos="9010"/>
        </w:tabs>
        <w:rPr>
          <w:rFonts w:asciiTheme="minorHAnsi" w:eastAsiaTheme="minorEastAsia" w:hAnsiTheme="minorHAnsi" w:cstheme="minorBidi"/>
          <w:noProof/>
          <w:szCs w:val="22"/>
          <w:lang w:val="cs-CZ" w:eastAsia="cs-CZ"/>
        </w:rPr>
      </w:pPr>
      <w:r w:rsidRPr="00617A57">
        <w:rPr>
          <w:rFonts w:ascii="Arial" w:hAnsi="Arial" w:cs="Arial"/>
          <w:szCs w:val="22"/>
        </w:rPr>
        <w:fldChar w:fldCharType="begin"/>
      </w:r>
      <w:r w:rsidRPr="00617A57">
        <w:rPr>
          <w:rFonts w:ascii="Arial" w:hAnsi="Arial" w:cs="Arial"/>
          <w:szCs w:val="22"/>
        </w:rPr>
        <w:instrText xml:space="preserve"> TOC \h \z \c "Tabuľka" </w:instrText>
      </w:r>
      <w:r w:rsidRPr="00617A57">
        <w:rPr>
          <w:rFonts w:ascii="Arial" w:hAnsi="Arial" w:cs="Arial"/>
          <w:szCs w:val="22"/>
        </w:rPr>
        <w:fldChar w:fldCharType="separate"/>
      </w:r>
      <w:hyperlink w:anchor="_Toc500705970" w:history="1">
        <w:r w:rsidR="00AE5A9F" w:rsidRPr="00A44B90">
          <w:rPr>
            <w:rStyle w:val="Hypertextovodkaz"/>
            <w:b/>
            <w:noProof/>
          </w:rPr>
          <w:t>Tabuľka 1:</w:t>
        </w:r>
        <w:r w:rsidR="00AE5A9F" w:rsidRPr="00A44B90">
          <w:rPr>
            <w:rStyle w:val="Hypertextovodkaz"/>
            <w:noProof/>
          </w:rPr>
          <w:t xml:space="preserve"> Vybrané ukazovatele demografického vývoja</w:t>
        </w:r>
        <w:r w:rsidR="00AE5A9F">
          <w:rPr>
            <w:noProof/>
            <w:webHidden/>
          </w:rPr>
          <w:tab/>
        </w:r>
        <w:r w:rsidR="00AE5A9F">
          <w:rPr>
            <w:noProof/>
            <w:webHidden/>
          </w:rPr>
          <w:fldChar w:fldCharType="begin"/>
        </w:r>
        <w:r w:rsidR="00AE5A9F">
          <w:rPr>
            <w:noProof/>
            <w:webHidden/>
          </w:rPr>
          <w:instrText xml:space="preserve"> PAGEREF _Toc500705970 \h </w:instrText>
        </w:r>
        <w:r w:rsidR="00AE5A9F">
          <w:rPr>
            <w:noProof/>
            <w:webHidden/>
          </w:rPr>
        </w:r>
        <w:r w:rsidR="00AE5A9F">
          <w:rPr>
            <w:noProof/>
            <w:webHidden/>
          </w:rPr>
          <w:fldChar w:fldCharType="separate"/>
        </w:r>
        <w:r w:rsidR="00AE5A9F">
          <w:rPr>
            <w:noProof/>
            <w:webHidden/>
          </w:rPr>
          <w:t>32</w:t>
        </w:r>
        <w:r w:rsidR="00AE5A9F">
          <w:rPr>
            <w:noProof/>
            <w:webHidden/>
          </w:rPr>
          <w:fldChar w:fldCharType="end"/>
        </w:r>
      </w:hyperlink>
    </w:p>
    <w:p w14:paraId="35FC207F"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71" w:history="1">
        <w:r w:rsidRPr="00A44B90">
          <w:rPr>
            <w:rStyle w:val="Hypertextovodkaz"/>
            <w:b/>
            <w:noProof/>
          </w:rPr>
          <w:t>Tabuľka 2:</w:t>
        </w:r>
        <w:r w:rsidRPr="00A44B90">
          <w:rPr>
            <w:rStyle w:val="Hypertextovodkaz"/>
            <w:noProof/>
          </w:rPr>
          <w:t xml:space="preserve"> Dekompozícia projektovaného rastu HDP</w:t>
        </w:r>
        <w:r w:rsidRPr="00A44B90">
          <w:rPr>
            <w:rStyle w:val="Hypertextovodkaz"/>
            <w:noProof/>
            <w:lang w:eastAsia="sk-SK"/>
          </w:rPr>
          <w:t xml:space="preserve"> v rokoch 2010-2060</w:t>
        </w:r>
        <w:r>
          <w:rPr>
            <w:noProof/>
            <w:webHidden/>
          </w:rPr>
          <w:tab/>
        </w:r>
        <w:r>
          <w:rPr>
            <w:noProof/>
            <w:webHidden/>
          </w:rPr>
          <w:fldChar w:fldCharType="begin"/>
        </w:r>
        <w:r>
          <w:rPr>
            <w:noProof/>
            <w:webHidden/>
          </w:rPr>
          <w:instrText xml:space="preserve"> PAGEREF _Toc500705971 \h </w:instrText>
        </w:r>
        <w:r>
          <w:rPr>
            <w:noProof/>
            <w:webHidden/>
          </w:rPr>
        </w:r>
        <w:r>
          <w:rPr>
            <w:noProof/>
            <w:webHidden/>
          </w:rPr>
          <w:fldChar w:fldCharType="separate"/>
        </w:r>
        <w:r>
          <w:rPr>
            <w:noProof/>
            <w:webHidden/>
          </w:rPr>
          <w:t>32</w:t>
        </w:r>
        <w:r>
          <w:rPr>
            <w:noProof/>
            <w:webHidden/>
          </w:rPr>
          <w:fldChar w:fldCharType="end"/>
        </w:r>
      </w:hyperlink>
    </w:p>
    <w:p w14:paraId="247773BE"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72" w:history="1">
        <w:r w:rsidRPr="00A44B90">
          <w:rPr>
            <w:rStyle w:val="Hypertextovodkaz"/>
            <w:b/>
            <w:noProof/>
          </w:rPr>
          <w:t>Tabuľka 3:</w:t>
        </w:r>
        <w:r w:rsidRPr="00A44B90">
          <w:rPr>
            <w:rStyle w:val="Hypertextovodkaz"/>
            <w:noProof/>
          </w:rPr>
          <w:t xml:space="preserve"> Kľúčové ukazovatele výskumu, vývoja a inovácií v SR, EÚ28 a krajinách V4</w:t>
        </w:r>
        <w:r>
          <w:rPr>
            <w:noProof/>
            <w:webHidden/>
          </w:rPr>
          <w:tab/>
        </w:r>
        <w:r>
          <w:rPr>
            <w:noProof/>
            <w:webHidden/>
          </w:rPr>
          <w:fldChar w:fldCharType="begin"/>
        </w:r>
        <w:r>
          <w:rPr>
            <w:noProof/>
            <w:webHidden/>
          </w:rPr>
          <w:instrText xml:space="preserve"> PAGEREF _Toc500705972 \h </w:instrText>
        </w:r>
        <w:r>
          <w:rPr>
            <w:noProof/>
            <w:webHidden/>
          </w:rPr>
        </w:r>
        <w:r>
          <w:rPr>
            <w:noProof/>
            <w:webHidden/>
          </w:rPr>
          <w:fldChar w:fldCharType="separate"/>
        </w:r>
        <w:r>
          <w:rPr>
            <w:noProof/>
            <w:webHidden/>
          </w:rPr>
          <w:t>34</w:t>
        </w:r>
        <w:r>
          <w:rPr>
            <w:noProof/>
            <w:webHidden/>
          </w:rPr>
          <w:fldChar w:fldCharType="end"/>
        </w:r>
      </w:hyperlink>
    </w:p>
    <w:p w14:paraId="159FFE11"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73" w:history="1">
        <w:r w:rsidRPr="00A44B90">
          <w:rPr>
            <w:rStyle w:val="Hypertextovodkaz"/>
            <w:b/>
            <w:noProof/>
          </w:rPr>
          <w:t>Tabuľka 4:</w:t>
        </w:r>
        <w:r w:rsidRPr="00A44B90">
          <w:rPr>
            <w:rStyle w:val="Hypertextovodkaz"/>
            <w:noProof/>
          </w:rPr>
          <w:t xml:space="preserve"> Stredná dĺžka života pri narodení, v rokoch, na základe priemeru troch rokov, podľa NUTS 3, v rokoch 2007-2015.</w:t>
        </w:r>
        <w:r>
          <w:rPr>
            <w:noProof/>
            <w:webHidden/>
          </w:rPr>
          <w:tab/>
        </w:r>
        <w:r>
          <w:rPr>
            <w:noProof/>
            <w:webHidden/>
          </w:rPr>
          <w:fldChar w:fldCharType="begin"/>
        </w:r>
        <w:r>
          <w:rPr>
            <w:noProof/>
            <w:webHidden/>
          </w:rPr>
          <w:instrText xml:space="preserve"> PAGEREF _Toc500705973 \h </w:instrText>
        </w:r>
        <w:r>
          <w:rPr>
            <w:noProof/>
            <w:webHidden/>
          </w:rPr>
        </w:r>
        <w:r>
          <w:rPr>
            <w:noProof/>
            <w:webHidden/>
          </w:rPr>
          <w:fldChar w:fldCharType="separate"/>
        </w:r>
        <w:r>
          <w:rPr>
            <w:noProof/>
            <w:webHidden/>
          </w:rPr>
          <w:t>37</w:t>
        </w:r>
        <w:r>
          <w:rPr>
            <w:noProof/>
            <w:webHidden/>
          </w:rPr>
          <w:fldChar w:fldCharType="end"/>
        </w:r>
      </w:hyperlink>
    </w:p>
    <w:p w14:paraId="35E294F0"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74" w:history="1">
        <w:r w:rsidRPr="00A44B90">
          <w:rPr>
            <w:rStyle w:val="Hypertextovodkaz"/>
            <w:b/>
            <w:noProof/>
          </w:rPr>
          <w:t>Tabuľka 5:</w:t>
        </w:r>
        <w:r w:rsidRPr="00A44B90">
          <w:rPr>
            <w:rStyle w:val="Hypertextovodkaz"/>
            <w:noProof/>
          </w:rPr>
          <w:t xml:space="preserve"> Ukazovatele stratégie Európa 2020 v oblasti zmeny klímy</w:t>
        </w:r>
        <w:r>
          <w:rPr>
            <w:noProof/>
            <w:webHidden/>
          </w:rPr>
          <w:tab/>
        </w:r>
        <w:r>
          <w:rPr>
            <w:noProof/>
            <w:webHidden/>
          </w:rPr>
          <w:fldChar w:fldCharType="begin"/>
        </w:r>
        <w:r>
          <w:rPr>
            <w:noProof/>
            <w:webHidden/>
          </w:rPr>
          <w:instrText xml:space="preserve"> PAGEREF _Toc500705974 \h </w:instrText>
        </w:r>
        <w:r>
          <w:rPr>
            <w:noProof/>
            <w:webHidden/>
          </w:rPr>
        </w:r>
        <w:r>
          <w:rPr>
            <w:noProof/>
            <w:webHidden/>
          </w:rPr>
          <w:fldChar w:fldCharType="separate"/>
        </w:r>
        <w:r>
          <w:rPr>
            <w:noProof/>
            <w:webHidden/>
          </w:rPr>
          <w:t>39</w:t>
        </w:r>
        <w:r>
          <w:rPr>
            <w:noProof/>
            <w:webHidden/>
          </w:rPr>
          <w:fldChar w:fldCharType="end"/>
        </w:r>
      </w:hyperlink>
    </w:p>
    <w:p w14:paraId="50788EF5"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75" w:history="1">
        <w:r w:rsidRPr="00A44B90">
          <w:rPr>
            <w:rStyle w:val="Hypertextovodkaz"/>
            <w:b/>
            <w:noProof/>
          </w:rPr>
          <w:t>Tabuľka 6:</w:t>
        </w:r>
        <w:r w:rsidRPr="00A44B90">
          <w:rPr>
            <w:rStyle w:val="Hypertextovodkaz"/>
            <w:noProof/>
          </w:rPr>
          <w:t xml:space="preserve"> Vývoj ohrozenia obyvateľstva SR podľa rôznych ukazovateľov (%)</w:t>
        </w:r>
        <w:r>
          <w:rPr>
            <w:noProof/>
            <w:webHidden/>
          </w:rPr>
          <w:tab/>
        </w:r>
        <w:r>
          <w:rPr>
            <w:noProof/>
            <w:webHidden/>
          </w:rPr>
          <w:fldChar w:fldCharType="begin"/>
        </w:r>
        <w:r>
          <w:rPr>
            <w:noProof/>
            <w:webHidden/>
          </w:rPr>
          <w:instrText xml:space="preserve"> PAGEREF _Toc500705975 \h </w:instrText>
        </w:r>
        <w:r>
          <w:rPr>
            <w:noProof/>
            <w:webHidden/>
          </w:rPr>
        </w:r>
        <w:r>
          <w:rPr>
            <w:noProof/>
            <w:webHidden/>
          </w:rPr>
          <w:fldChar w:fldCharType="separate"/>
        </w:r>
        <w:r>
          <w:rPr>
            <w:noProof/>
            <w:webHidden/>
          </w:rPr>
          <w:t>42</w:t>
        </w:r>
        <w:r>
          <w:rPr>
            <w:noProof/>
            <w:webHidden/>
          </w:rPr>
          <w:fldChar w:fldCharType="end"/>
        </w:r>
      </w:hyperlink>
    </w:p>
    <w:p w14:paraId="7C1FFB23" w14:textId="7B3EB694" w:rsidR="00A653FE" w:rsidRDefault="00A653FE" w:rsidP="00A653FE">
      <w:pPr>
        <w:pStyle w:val="Zkladntext"/>
        <w:spacing w:beforeLines="20" w:before="48" w:afterLines="40" w:after="96"/>
      </w:pPr>
      <w:r w:rsidRPr="00617A57">
        <w:rPr>
          <w:rFonts w:ascii="Arial" w:hAnsi="Arial" w:cs="Arial"/>
        </w:rPr>
        <w:fldChar w:fldCharType="end"/>
      </w:r>
    </w:p>
    <w:p w14:paraId="7A4D7AB0" w14:textId="4D20CD64" w:rsidR="00A653FE" w:rsidRPr="007D5414" w:rsidRDefault="00A653FE" w:rsidP="007D5414">
      <w:pPr>
        <w:pStyle w:val="Nadpis2"/>
        <w:tabs>
          <w:tab w:val="num" w:pos="0"/>
        </w:tabs>
        <w:spacing w:before="400" w:after="0" w:line="320" w:lineRule="exact"/>
        <w:jc w:val="left"/>
      </w:pPr>
      <w:bookmarkStart w:id="78" w:name="_Toc499010017"/>
      <w:bookmarkStart w:id="79" w:name="_Toc499227668"/>
      <w:bookmarkStart w:id="80" w:name="_Toc500706022"/>
      <w:r w:rsidRPr="001F6A9E">
        <w:t xml:space="preserve">Zoznam </w:t>
      </w:r>
      <w:r>
        <w:t>grafov</w:t>
      </w:r>
      <w:bookmarkEnd w:id="78"/>
      <w:bookmarkEnd w:id="79"/>
      <w:bookmarkEnd w:id="80"/>
    </w:p>
    <w:p w14:paraId="4C2E302C" w14:textId="77777777" w:rsidR="00AE5A9F" w:rsidRDefault="00A653FE">
      <w:pPr>
        <w:pStyle w:val="Seznamobrzk"/>
        <w:tabs>
          <w:tab w:val="right" w:leader="dot" w:pos="9010"/>
        </w:tabs>
        <w:rPr>
          <w:rFonts w:asciiTheme="minorHAnsi" w:eastAsiaTheme="minorEastAsia" w:hAnsiTheme="minorHAnsi" w:cstheme="minorBidi"/>
          <w:noProof/>
          <w:szCs w:val="22"/>
          <w:lang w:val="cs-CZ" w:eastAsia="cs-CZ"/>
        </w:rPr>
      </w:pPr>
      <w:r w:rsidRPr="00617A57">
        <w:rPr>
          <w:rFonts w:ascii="Arial" w:hAnsi="Arial" w:cs="Arial"/>
          <w:szCs w:val="22"/>
        </w:rPr>
        <w:fldChar w:fldCharType="begin"/>
      </w:r>
      <w:r w:rsidRPr="00617A57">
        <w:rPr>
          <w:rFonts w:ascii="Arial" w:hAnsi="Arial" w:cs="Arial"/>
          <w:szCs w:val="22"/>
        </w:rPr>
        <w:instrText xml:space="preserve"> TOC \h \z \c "Graf" </w:instrText>
      </w:r>
      <w:r w:rsidRPr="00617A57">
        <w:rPr>
          <w:rFonts w:ascii="Arial" w:hAnsi="Arial" w:cs="Arial"/>
          <w:szCs w:val="22"/>
        </w:rPr>
        <w:fldChar w:fldCharType="separate"/>
      </w:r>
      <w:hyperlink w:anchor="_Toc500705956" w:history="1">
        <w:r w:rsidR="00AE5A9F" w:rsidRPr="00A01CF5">
          <w:rPr>
            <w:rStyle w:val="Hypertextovodkaz"/>
            <w:b/>
            <w:noProof/>
          </w:rPr>
          <w:t>Graf 1:</w:t>
        </w:r>
        <w:r w:rsidR="00AE5A9F" w:rsidRPr="00A01CF5">
          <w:rPr>
            <w:rStyle w:val="Hypertextovodkaz"/>
            <w:noProof/>
          </w:rPr>
          <w:t xml:space="preserve"> Integrácia SR do svetových sietí obchodu s tovarom a službami (exporty ako % HDP). Zdroj: Štatistický úrad Slovenskej republiky:</w:t>
        </w:r>
        <w:r w:rsidR="00AE5A9F" w:rsidRPr="00A01CF5">
          <w:rPr>
            <w:rStyle w:val="Hypertextovodkaz"/>
            <w:i/>
            <w:iCs/>
            <w:noProof/>
          </w:rPr>
          <w:t xml:space="preserve"> databáza Slovstat</w:t>
        </w:r>
        <w:r w:rsidR="00AE5A9F" w:rsidRPr="00A01CF5">
          <w:rPr>
            <w:rStyle w:val="Hypertextovodkaz"/>
            <w:noProof/>
          </w:rPr>
          <w:t xml:space="preserve">, Národná banka Slovenska: </w:t>
        </w:r>
        <w:r w:rsidR="00AE5A9F" w:rsidRPr="00A01CF5">
          <w:rPr>
            <w:rStyle w:val="Hypertextovodkaz"/>
            <w:i/>
            <w:iCs/>
            <w:noProof/>
          </w:rPr>
          <w:t>Štatistika platobnej bilancie</w:t>
        </w:r>
        <w:r w:rsidR="00AE5A9F" w:rsidRPr="00A01CF5">
          <w:rPr>
            <w:rStyle w:val="Hypertextovodkaz"/>
            <w:noProof/>
          </w:rPr>
          <w:t>.</w:t>
        </w:r>
        <w:r w:rsidR="00AE5A9F">
          <w:rPr>
            <w:noProof/>
            <w:webHidden/>
          </w:rPr>
          <w:tab/>
        </w:r>
        <w:r w:rsidR="00AE5A9F">
          <w:rPr>
            <w:noProof/>
            <w:webHidden/>
          </w:rPr>
          <w:fldChar w:fldCharType="begin"/>
        </w:r>
        <w:r w:rsidR="00AE5A9F">
          <w:rPr>
            <w:noProof/>
            <w:webHidden/>
          </w:rPr>
          <w:instrText xml:space="preserve"> PAGEREF _Toc500705956 \h </w:instrText>
        </w:r>
        <w:r w:rsidR="00AE5A9F">
          <w:rPr>
            <w:noProof/>
            <w:webHidden/>
          </w:rPr>
        </w:r>
        <w:r w:rsidR="00AE5A9F">
          <w:rPr>
            <w:noProof/>
            <w:webHidden/>
          </w:rPr>
          <w:fldChar w:fldCharType="separate"/>
        </w:r>
        <w:r w:rsidR="00AE5A9F">
          <w:rPr>
            <w:noProof/>
            <w:webHidden/>
          </w:rPr>
          <w:t>33</w:t>
        </w:r>
        <w:r w:rsidR="00AE5A9F">
          <w:rPr>
            <w:noProof/>
            <w:webHidden/>
          </w:rPr>
          <w:fldChar w:fldCharType="end"/>
        </w:r>
      </w:hyperlink>
    </w:p>
    <w:p w14:paraId="22FAE845"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57" w:history="1">
        <w:r w:rsidRPr="00A01CF5">
          <w:rPr>
            <w:rStyle w:val="Hypertextovodkaz"/>
            <w:b/>
            <w:noProof/>
          </w:rPr>
          <w:t>Graf 2:</w:t>
        </w:r>
        <w:r w:rsidRPr="00A01CF5">
          <w:rPr>
            <w:rStyle w:val="Hypertextovodkaz"/>
            <w:noProof/>
          </w:rPr>
          <w:t xml:space="preserve"> Štruktúra slovenských exportov tovarov v rokoch 1997-2016. Zdroj: Štatistický úrad Slovenskej republiky: </w:t>
        </w:r>
        <w:r w:rsidRPr="00A01CF5">
          <w:rPr>
            <w:rStyle w:val="Hypertextovodkaz"/>
            <w:i/>
            <w:iCs/>
            <w:noProof/>
          </w:rPr>
          <w:t>databáza Slovstat</w:t>
        </w:r>
        <w:r w:rsidRPr="00A01CF5">
          <w:rPr>
            <w:rStyle w:val="Hypertextovodkaz"/>
            <w:noProof/>
          </w:rPr>
          <w:t>, Klasifikácia výrobkov podľa Harmonického systému popisu a kódovania komodít HS6.</w:t>
        </w:r>
        <w:r>
          <w:rPr>
            <w:noProof/>
            <w:webHidden/>
          </w:rPr>
          <w:tab/>
        </w:r>
        <w:r>
          <w:rPr>
            <w:noProof/>
            <w:webHidden/>
          </w:rPr>
          <w:fldChar w:fldCharType="begin"/>
        </w:r>
        <w:r>
          <w:rPr>
            <w:noProof/>
            <w:webHidden/>
          </w:rPr>
          <w:instrText xml:space="preserve"> PAGEREF _Toc500705957 \h </w:instrText>
        </w:r>
        <w:r>
          <w:rPr>
            <w:noProof/>
            <w:webHidden/>
          </w:rPr>
        </w:r>
        <w:r>
          <w:rPr>
            <w:noProof/>
            <w:webHidden/>
          </w:rPr>
          <w:fldChar w:fldCharType="separate"/>
        </w:r>
        <w:r>
          <w:rPr>
            <w:noProof/>
            <w:webHidden/>
          </w:rPr>
          <w:t>33</w:t>
        </w:r>
        <w:r>
          <w:rPr>
            <w:noProof/>
            <w:webHidden/>
          </w:rPr>
          <w:fldChar w:fldCharType="end"/>
        </w:r>
      </w:hyperlink>
    </w:p>
    <w:p w14:paraId="0EAD6235"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58" w:history="1">
        <w:r w:rsidRPr="00A01CF5">
          <w:rPr>
            <w:rStyle w:val="Hypertextovodkaz"/>
            <w:b/>
            <w:noProof/>
          </w:rPr>
          <w:t>Graf 3:</w:t>
        </w:r>
        <w:r w:rsidRPr="00A01CF5">
          <w:rPr>
            <w:rStyle w:val="Hypertextovodkaz"/>
            <w:noProof/>
          </w:rPr>
          <w:t xml:space="preserve"> Trendy v ukazovateľoch výskumu, vývoja a inovácií: Zdroj: Eurostat (2017): Total intramural R&amp;D expenditure (GERD) by sectors of performance, a European Commission, DG Growth (2017): European Innovation Scoreboard 2017.</w:t>
        </w:r>
        <w:r>
          <w:rPr>
            <w:noProof/>
            <w:webHidden/>
          </w:rPr>
          <w:tab/>
        </w:r>
        <w:r>
          <w:rPr>
            <w:noProof/>
            <w:webHidden/>
          </w:rPr>
          <w:fldChar w:fldCharType="begin"/>
        </w:r>
        <w:r>
          <w:rPr>
            <w:noProof/>
            <w:webHidden/>
          </w:rPr>
          <w:instrText xml:space="preserve"> PAGEREF _Toc500705958 \h </w:instrText>
        </w:r>
        <w:r>
          <w:rPr>
            <w:noProof/>
            <w:webHidden/>
          </w:rPr>
        </w:r>
        <w:r>
          <w:rPr>
            <w:noProof/>
            <w:webHidden/>
          </w:rPr>
          <w:fldChar w:fldCharType="separate"/>
        </w:r>
        <w:r>
          <w:rPr>
            <w:noProof/>
            <w:webHidden/>
          </w:rPr>
          <w:t>34</w:t>
        </w:r>
        <w:r>
          <w:rPr>
            <w:noProof/>
            <w:webHidden/>
          </w:rPr>
          <w:fldChar w:fldCharType="end"/>
        </w:r>
      </w:hyperlink>
    </w:p>
    <w:p w14:paraId="2C9D3524"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59" w:history="1">
        <w:r w:rsidRPr="00A01CF5">
          <w:rPr>
            <w:rStyle w:val="Hypertextovodkaz"/>
            <w:b/>
            <w:noProof/>
          </w:rPr>
          <w:t>Graf 4:</w:t>
        </w:r>
        <w:r w:rsidRPr="00A01CF5">
          <w:rPr>
            <w:rStyle w:val="Hypertextovodkaz"/>
            <w:noProof/>
          </w:rPr>
          <w:t xml:space="preserve"> Miera predčasného ukončenia  školskej  dochádzky (%). Zdroj: Eurostat (2017): Early leavers from education and training</w:t>
        </w:r>
        <w:r>
          <w:rPr>
            <w:noProof/>
            <w:webHidden/>
          </w:rPr>
          <w:tab/>
        </w:r>
        <w:r>
          <w:rPr>
            <w:noProof/>
            <w:webHidden/>
          </w:rPr>
          <w:fldChar w:fldCharType="begin"/>
        </w:r>
        <w:r>
          <w:rPr>
            <w:noProof/>
            <w:webHidden/>
          </w:rPr>
          <w:instrText xml:space="preserve"> PAGEREF _Toc500705959 \h </w:instrText>
        </w:r>
        <w:r>
          <w:rPr>
            <w:noProof/>
            <w:webHidden/>
          </w:rPr>
        </w:r>
        <w:r>
          <w:rPr>
            <w:noProof/>
            <w:webHidden/>
          </w:rPr>
          <w:fldChar w:fldCharType="separate"/>
        </w:r>
        <w:r>
          <w:rPr>
            <w:noProof/>
            <w:webHidden/>
          </w:rPr>
          <w:t>35</w:t>
        </w:r>
        <w:r>
          <w:rPr>
            <w:noProof/>
            <w:webHidden/>
          </w:rPr>
          <w:fldChar w:fldCharType="end"/>
        </w:r>
      </w:hyperlink>
    </w:p>
    <w:p w14:paraId="260C6E29"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0" w:history="1">
        <w:r w:rsidRPr="00A01CF5">
          <w:rPr>
            <w:rStyle w:val="Hypertextovodkaz"/>
            <w:b/>
            <w:noProof/>
          </w:rPr>
          <w:t>Graf 5:</w:t>
        </w:r>
        <w:r w:rsidRPr="00A01CF5">
          <w:rPr>
            <w:rStyle w:val="Hypertextovodkaz"/>
            <w:noProof/>
          </w:rPr>
          <w:t xml:space="preserve"> Podiel obyvateľov vo  veku 30– 34 rokov s ukončeným vysokoškolským vzdelaním. Zdroj: Eurostat (2017): Tertiary educational attainment, age group 30-34.</w:t>
        </w:r>
        <w:r>
          <w:rPr>
            <w:noProof/>
            <w:webHidden/>
          </w:rPr>
          <w:tab/>
        </w:r>
        <w:r>
          <w:rPr>
            <w:noProof/>
            <w:webHidden/>
          </w:rPr>
          <w:fldChar w:fldCharType="begin"/>
        </w:r>
        <w:r>
          <w:rPr>
            <w:noProof/>
            <w:webHidden/>
          </w:rPr>
          <w:instrText xml:space="preserve"> PAGEREF _Toc500705960 \h </w:instrText>
        </w:r>
        <w:r>
          <w:rPr>
            <w:noProof/>
            <w:webHidden/>
          </w:rPr>
        </w:r>
        <w:r>
          <w:rPr>
            <w:noProof/>
            <w:webHidden/>
          </w:rPr>
          <w:fldChar w:fldCharType="separate"/>
        </w:r>
        <w:r>
          <w:rPr>
            <w:noProof/>
            <w:webHidden/>
          </w:rPr>
          <w:t>35</w:t>
        </w:r>
        <w:r>
          <w:rPr>
            <w:noProof/>
            <w:webHidden/>
          </w:rPr>
          <w:fldChar w:fldCharType="end"/>
        </w:r>
      </w:hyperlink>
    </w:p>
    <w:p w14:paraId="45EAEAB1"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1" w:history="1">
        <w:r w:rsidRPr="00A01CF5">
          <w:rPr>
            <w:rStyle w:val="Hypertextovodkaz"/>
            <w:b/>
            <w:noProof/>
          </w:rPr>
          <w:t>Graf 6:</w:t>
        </w:r>
        <w:r w:rsidRPr="00A01CF5">
          <w:rPr>
            <w:rStyle w:val="Hypertextovodkaz"/>
            <w:noProof/>
          </w:rPr>
          <w:t xml:space="preserve"> Počet úmrtí na choroby obehovej sústavy prepočítané na 100 000 obyvateľov </w:t>
        </w:r>
        <w:r w:rsidRPr="00A01CF5">
          <w:rPr>
            <w:rStyle w:val="Hypertextovodkaz"/>
            <w:i/>
            <w:noProof/>
          </w:rPr>
          <w:t>Zdroj: dáta Eurostat</w:t>
        </w:r>
        <w:r>
          <w:rPr>
            <w:noProof/>
            <w:webHidden/>
          </w:rPr>
          <w:tab/>
        </w:r>
        <w:r>
          <w:rPr>
            <w:noProof/>
            <w:webHidden/>
          </w:rPr>
          <w:fldChar w:fldCharType="begin"/>
        </w:r>
        <w:r>
          <w:rPr>
            <w:noProof/>
            <w:webHidden/>
          </w:rPr>
          <w:instrText xml:space="preserve"> PAGEREF _Toc500705961 \h </w:instrText>
        </w:r>
        <w:r>
          <w:rPr>
            <w:noProof/>
            <w:webHidden/>
          </w:rPr>
        </w:r>
        <w:r>
          <w:rPr>
            <w:noProof/>
            <w:webHidden/>
          </w:rPr>
          <w:fldChar w:fldCharType="separate"/>
        </w:r>
        <w:r>
          <w:rPr>
            <w:noProof/>
            <w:webHidden/>
          </w:rPr>
          <w:t>36</w:t>
        </w:r>
        <w:r>
          <w:rPr>
            <w:noProof/>
            <w:webHidden/>
          </w:rPr>
          <w:fldChar w:fldCharType="end"/>
        </w:r>
      </w:hyperlink>
    </w:p>
    <w:p w14:paraId="603A734C"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2" w:history="1">
        <w:r w:rsidRPr="00A01CF5">
          <w:rPr>
            <w:rStyle w:val="Hypertextovodkaz"/>
            <w:b/>
            <w:noProof/>
          </w:rPr>
          <w:t>Graf 7:</w:t>
        </w:r>
        <w:r w:rsidRPr="00A01CF5">
          <w:rPr>
            <w:rStyle w:val="Hypertextovodkaz"/>
            <w:noProof/>
          </w:rPr>
          <w:t xml:space="preserve"> Počet úmrtí na nádorové ochorenia prepočítané na 100 000 obyvateľov. </w:t>
        </w:r>
        <w:r w:rsidRPr="00A01CF5">
          <w:rPr>
            <w:rStyle w:val="Hypertextovodkaz"/>
            <w:i/>
            <w:noProof/>
          </w:rPr>
          <w:t>Zdroj: dáta Eurostat</w:t>
        </w:r>
        <w:r>
          <w:rPr>
            <w:noProof/>
            <w:webHidden/>
          </w:rPr>
          <w:tab/>
        </w:r>
        <w:r>
          <w:rPr>
            <w:noProof/>
            <w:webHidden/>
          </w:rPr>
          <w:fldChar w:fldCharType="begin"/>
        </w:r>
        <w:r>
          <w:rPr>
            <w:noProof/>
            <w:webHidden/>
          </w:rPr>
          <w:instrText xml:space="preserve"> PAGEREF _Toc500705962 \h </w:instrText>
        </w:r>
        <w:r>
          <w:rPr>
            <w:noProof/>
            <w:webHidden/>
          </w:rPr>
        </w:r>
        <w:r>
          <w:rPr>
            <w:noProof/>
            <w:webHidden/>
          </w:rPr>
          <w:fldChar w:fldCharType="separate"/>
        </w:r>
        <w:r>
          <w:rPr>
            <w:noProof/>
            <w:webHidden/>
          </w:rPr>
          <w:t>36</w:t>
        </w:r>
        <w:r>
          <w:rPr>
            <w:noProof/>
            <w:webHidden/>
          </w:rPr>
          <w:fldChar w:fldCharType="end"/>
        </w:r>
      </w:hyperlink>
    </w:p>
    <w:p w14:paraId="3D661323"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3" w:history="1">
        <w:r w:rsidRPr="00A01CF5">
          <w:rPr>
            <w:rStyle w:val="Hypertextovodkaz"/>
            <w:b/>
            <w:noProof/>
          </w:rPr>
          <w:t>Graf 8:</w:t>
        </w:r>
        <w:r w:rsidRPr="00A01CF5">
          <w:rPr>
            <w:rStyle w:val="Hypertextovodkaz"/>
            <w:noProof/>
          </w:rPr>
          <w:t xml:space="preserve"> Percentuálna zmena v emisiách skleníkových plynov krajín EÚ oproti roku 1990. </w:t>
        </w:r>
        <w:r w:rsidRPr="00A01CF5">
          <w:rPr>
            <w:rStyle w:val="Hypertextovodkaz"/>
            <w:i/>
            <w:noProof/>
          </w:rPr>
          <w:t>Zdroj: podľa dát Eurostatu, 2017</w:t>
        </w:r>
        <w:r>
          <w:rPr>
            <w:noProof/>
            <w:webHidden/>
          </w:rPr>
          <w:tab/>
        </w:r>
        <w:r>
          <w:rPr>
            <w:noProof/>
            <w:webHidden/>
          </w:rPr>
          <w:fldChar w:fldCharType="begin"/>
        </w:r>
        <w:r>
          <w:rPr>
            <w:noProof/>
            <w:webHidden/>
          </w:rPr>
          <w:instrText xml:space="preserve"> PAGEREF _Toc500705963 \h </w:instrText>
        </w:r>
        <w:r>
          <w:rPr>
            <w:noProof/>
            <w:webHidden/>
          </w:rPr>
        </w:r>
        <w:r>
          <w:rPr>
            <w:noProof/>
            <w:webHidden/>
          </w:rPr>
          <w:fldChar w:fldCharType="separate"/>
        </w:r>
        <w:r>
          <w:rPr>
            <w:noProof/>
            <w:webHidden/>
          </w:rPr>
          <w:t>38</w:t>
        </w:r>
        <w:r>
          <w:rPr>
            <w:noProof/>
            <w:webHidden/>
          </w:rPr>
          <w:fldChar w:fldCharType="end"/>
        </w:r>
      </w:hyperlink>
    </w:p>
    <w:p w14:paraId="0FF8E81B"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4" w:history="1">
        <w:r w:rsidRPr="00A01CF5">
          <w:rPr>
            <w:rStyle w:val="Hypertextovodkaz"/>
            <w:b/>
            <w:noProof/>
          </w:rPr>
          <w:t>Graf 9:</w:t>
        </w:r>
        <w:r w:rsidRPr="00A01CF5">
          <w:rPr>
            <w:rStyle w:val="Hypertextovodkaz"/>
            <w:i/>
            <w:noProof/>
            <w:lang w:eastAsia="sk-SK"/>
          </w:rPr>
          <w:t xml:space="preserve"> </w:t>
        </w:r>
        <w:r w:rsidRPr="00A01CF5">
          <w:rPr>
            <w:rStyle w:val="Hypertextovodkaz"/>
            <w:noProof/>
            <w:lang w:eastAsia="sk-SK"/>
          </w:rPr>
          <w:t>Percentuálny podiel ekologického poľnohospodárstva z celkovej obhospodarovanej poľnohospodárskej pôdy</w:t>
        </w:r>
        <w:r w:rsidRPr="00A01CF5">
          <w:rPr>
            <w:rStyle w:val="Hypertextovodkaz"/>
            <w:i/>
            <w:noProof/>
            <w:lang w:eastAsia="sk-SK"/>
          </w:rPr>
          <w:t xml:space="preserve"> </w:t>
        </w:r>
        <w:r w:rsidRPr="00A01CF5">
          <w:rPr>
            <w:rStyle w:val="Hypertextovodkaz"/>
            <w:i/>
            <w:noProof/>
          </w:rPr>
          <w:t xml:space="preserve">Zdroj: </w:t>
        </w:r>
        <w:r w:rsidRPr="00A01CF5">
          <w:rPr>
            <w:rStyle w:val="Hypertextovodkaz"/>
            <w:noProof/>
          </w:rPr>
          <w:t>Scenáre vývoja v životnom prostredí: udržateľný rast v kontexte ochrany biodiverzity a zmeny klímy? Bratislava: Centru spoločenských a psychologických vied, Slovenská akadémia vied, 2017.</w:t>
        </w:r>
        <w:r>
          <w:rPr>
            <w:noProof/>
            <w:webHidden/>
          </w:rPr>
          <w:tab/>
        </w:r>
        <w:r>
          <w:rPr>
            <w:noProof/>
            <w:webHidden/>
          </w:rPr>
          <w:fldChar w:fldCharType="begin"/>
        </w:r>
        <w:r>
          <w:rPr>
            <w:noProof/>
            <w:webHidden/>
          </w:rPr>
          <w:instrText xml:space="preserve"> PAGEREF _Toc500705964 \h </w:instrText>
        </w:r>
        <w:r>
          <w:rPr>
            <w:noProof/>
            <w:webHidden/>
          </w:rPr>
        </w:r>
        <w:r>
          <w:rPr>
            <w:noProof/>
            <w:webHidden/>
          </w:rPr>
          <w:fldChar w:fldCharType="separate"/>
        </w:r>
        <w:r>
          <w:rPr>
            <w:noProof/>
            <w:webHidden/>
          </w:rPr>
          <w:t>38</w:t>
        </w:r>
        <w:r>
          <w:rPr>
            <w:noProof/>
            <w:webHidden/>
          </w:rPr>
          <w:fldChar w:fldCharType="end"/>
        </w:r>
      </w:hyperlink>
    </w:p>
    <w:p w14:paraId="5AED04BC"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5" w:history="1">
        <w:r w:rsidRPr="00A01CF5">
          <w:rPr>
            <w:rStyle w:val="Hypertextovodkaz"/>
            <w:b/>
            <w:noProof/>
          </w:rPr>
          <w:t>Graf 10:</w:t>
        </w:r>
        <w:r w:rsidRPr="00A01CF5">
          <w:rPr>
            <w:rStyle w:val="Hypertextovodkaz"/>
            <w:b/>
            <w:noProof/>
            <w:lang w:eastAsia="sk-SK"/>
          </w:rPr>
          <w:t>.</w:t>
        </w:r>
        <w:r w:rsidRPr="00A01CF5">
          <w:rPr>
            <w:rStyle w:val="Hypertextovodkaz"/>
            <w:noProof/>
            <w:lang w:eastAsia="sk-SK"/>
          </w:rPr>
          <w:t xml:space="preserve"> </w:t>
        </w:r>
        <w:r w:rsidRPr="00A01CF5">
          <w:rPr>
            <w:rStyle w:val="Hypertextovodkaz"/>
            <w:iCs/>
            <w:noProof/>
            <w:lang w:eastAsia="sk-SK"/>
          </w:rPr>
          <w:t xml:space="preserve">Znázornenie Indexu zmeny početnosti druhov vtáctva poľnohospodárskej krajiny. </w:t>
        </w:r>
        <w:r w:rsidRPr="00A01CF5">
          <w:rPr>
            <w:rStyle w:val="Hypertextovodkaz"/>
            <w:i/>
            <w:noProof/>
            <w:lang w:eastAsia="sk-SK"/>
          </w:rPr>
          <w:t>Zdroj:</w:t>
        </w:r>
        <w:r w:rsidRPr="00A01CF5">
          <w:rPr>
            <w:rStyle w:val="Hypertextovodkaz"/>
            <w:noProof/>
            <w:lang w:eastAsia="sk-SK"/>
          </w:rPr>
          <w:t xml:space="preserve"> SOS/BirdLife SR, 2016. </w:t>
        </w:r>
        <w:r w:rsidRPr="00A01CF5">
          <w:rPr>
            <w:rStyle w:val="Hypertextovodkaz"/>
            <w:iCs/>
            <w:noProof/>
            <w:lang w:eastAsia="sk-SK"/>
          </w:rPr>
          <w:t xml:space="preserve"> (FBI SK – farmland bird index - index zmeny početnosti druhov poľnohospodárskej krajiny na národnej úrovni, FBI AEP – farmland bird index zmeny početnosti druhov poľnohospodárskej krajiny na plochách s aplikovanými agroenvironmentálnymi schémami)</w:t>
        </w:r>
        <w:r>
          <w:rPr>
            <w:noProof/>
            <w:webHidden/>
          </w:rPr>
          <w:tab/>
        </w:r>
        <w:r>
          <w:rPr>
            <w:noProof/>
            <w:webHidden/>
          </w:rPr>
          <w:fldChar w:fldCharType="begin"/>
        </w:r>
        <w:r>
          <w:rPr>
            <w:noProof/>
            <w:webHidden/>
          </w:rPr>
          <w:instrText xml:space="preserve"> PAGEREF _Toc500705965 \h </w:instrText>
        </w:r>
        <w:r>
          <w:rPr>
            <w:noProof/>
            <w:webHidden/>
          </w:rPr>
        </w:r>
        <w:r>
          <w:rPr>
            <w:noProof/>
            <w:webHidden/>
          </w:rPr>
          <w:fldChar w:fldCharType="separate"/>
        </w:r>
        <w:r>
          <w:rPr>
            <w:noProof/>
            <w:webHidden/>
          </w:rPr>
          <w:t>39</w:t>
        </w:r>
        <w:r>
          <w:rPr>
            <w:noProof/>
            <w:webHidden/>
          </w:rPr>
          <w:fldChar w:fldCharType="end"/>
        </w:r>
      </w:hyperlink>
    </w:p>
    <w:p w14:paraId="51DB9196"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6" w:history="1">
        <w:r w:rsidRPr="00A01CF5">
          <w:rPr>
            <w:rStyle w:val="Hypertextovodkaz"/>
            <w:b/>
            <w:noProof/>
          </w:rPr>
          <w:t>Graf 11:</w:t>
        </w:r>
        <w:r w:rsidRPr="00A01CF5">
          <w:rPr>
            <w:rStyle w:val="Hypertextovodkaz"/>
            <w:noProof/>
            <w:lang w:eastAsia="sk-SK"/>
          </w:rPr>
          <w:t xml:space="preserve"> </w:t>
        </w:r>
        <w:r w:rsidRPr="00A01CF5">
          <w:rPr>
            <w:rStyle w:val="Hypertextovodkaz"/>
            <w:noProof/>
          </w:rPr>
          <w:t>Scenár vývoja podielu OZE v hrubej konečnej spotrebe energie do roku 2020. Zdroj: Scenáre vývoja v životnom prostredí: udržateľný rast v kontexte ochrany biodiverzity a zmeny klímy? Bratislava: Centru spoločenských a psychologických vied, Slovenská akadémia vied, 2017.</w:t>
        </w:r>
        <w:r>
          <w:rPr>
            <w:noProof/>
            <w:webHidden/>
          </w:rPr>
          <w:tab/>
        </w:r>
        <w:r>
          <w:rPr>
            <w:noProof/>
            <w:webHidden/>
          </w:rPr>
          <w:fldChar w:fldCharType="begin"/>
        </w:r>
        <w:r>
          <w:rPr>
            <w:noProof/>
            <w:webHidden/>
          </w:rPr>
          <w:instrText xml:space="preserve"> PAGEREF _Toc500705966 \h </w:instrText>
        </w:r>
        <w:r>
          <w:rPr>
            <w:noProof/>
            <w:webHidden/>
          </w:rPr>
        </w:r>
        <w:r>
          <w:rPr>
            <w:noProof/>
            <w:webHidden/>
          </w:rPr>
          <w:fldChar w:fldCharType="separate"/>
        </w:r>
        <w:r>
          <w:rPr>
            <w:noProof/>
            <w:webHidden/>
          </w:rPr>
          <w:t>40</w:t>
        </w:r>
        <w:r>
          <w:rPr>
            <w:noProof/>
            <w:webHidden/>
          </w:rPr>
          <w:fldChar w:fldCharType="end"/>
        </w:r>
      </w:hyperlink>
    </w:p>
    <w:p w14:paraId="6F6D19E8"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7" w:history="1">
        <w:r w:rsidRPr="00A01CF5">
          <w:rPr>
            <w:rStyle w:val="Hypertextovodkaz"/>
            <w:b/>
            <w:noProof/>
          </w:rPr>
          <w:t>Graf 12:</w:t>
        </w:r>
        <w:r w:rsidRPr="00A01CF5">
          <w:rPr>
            <w:rStyle w:val="Hypertextovodkaz"/>
            <w:noProof/>
            <w:lang w:eastAsia="sk-SK"/>
          </w:rPr>
          <w:t xml:space="preserve"> </w:t>
        </w:r>
        <w:r w:rsidRPr="00A01CF5">
          <w:rPr>
            <w:rStyle w:val="Hypertextovodkaz"/>
            <w:noProof/>
          </w:rPr>
          <w:t>Trendy v 4 hlavných indikátoroch efektívneho využívania zdrojov. Zdroj: Scenáre vývoja v životnom prostredí: udržateľný rast v kontexte ochrany biodiverzity a zmeny klímy? Bratislava: Centru spoločenských a psychologických vied, Slovenská akadémia vied, 2017.</w:t>
        </w:r>
        <w:r>
          <w:rPr>
            <w:noProof/>
            <w:webHidden/>
          </w:rPr>
          <w:tab/>
        </w:r>
        <w:r>
          <w:rPr>
            <w:noProof/>
            <w:webHidden/>
          </w:rPr>
          <w:fldChar w:fldCharType="begin"/>
        </w:r>
        <w:r>
          <w:rPr>
            <w:noProof/>
            <w:webHidden/>
          </w:rPr>
          <w:instrText xml:space="preserve"> PAGEREF _Toc500705967 \h </w:instrText>
        </w:r>
        <w:r>
          <w:rPr>
            <w:noProof/>
            <w:webHidden/>
          </w:rPr>
        </w:r>
        <w:r>
          <w:rPr>
            <w:noProof/>
            <w:webHidden/>
          </w:rPr>
          <w:fldChar w:fldCharType="separate"/>
        </w:r>
        <w:r>
          <w:rPr>
            <w:noProof/>
            <w:webHidden/>
          </w:rPr>
          <w:t>40</w:t>
        </w:r>
        <w:r>
          <w:rPr>
            <w:noProof/>
            <w:webHidden/>
          </w:rPr>
          <w:fldChar w:fldCharType="end"/>
        </w:r>
      </w:hyperlink>
    </w:p>
    <w:p w14:paraId="4787C122"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8" w:history="1">
        <w:r w:rsidRPr="00A01CF5">
          <w:rPr>
            <w:rStyle w:val="Hypertextovodkaz"/>
            <w:b/>
            <w:noProof/>
          </w:rPr>
          <w:t xml:space="preserve">Graf 13: </w:t>
        </w:r>
        <w:r w:rsidRPr="00A01CF5">
          <w:rPr>
            <w:rStyle w:val="Hypertextovodkaz"/>
            <w:noProof/>
          </w:rPr>
          <w:t>Miera rizika chudoby v členských krajinách EÚ v percentách v rokoch 2014 a 2015. Zdroj: Eurostat</w:t>
        </w:r>
        <w:r>
          <w:rPr>
            <w:noProof/>
            <w:webHidden/>
          </w:rPr>
          <w:tab/>
        </w:r>
        <w:r>
          <w:rPr>
            <w:noProof/>
            <w:webHidden/>
          </w:rPr>
          <w:fldChar w:fldCharType="begin"/>
        </w:r>
        <w:r>
          <w:rPr>
            <w:noProof/>
            <w:webHidden/>
          </w:rPr>
          <w:instrText xml:space="preserve"> PAGEREF _Toc500705968 \h </w:instrText>
        </w:r>
        <w:r>
          <w:rPr>
            <w:noProof/>
            <w:webHidden/>
          </w:rPr>
        </w:r>
        <w:r>
          <w:rPr>
            <w:noProof/>
            <w:webHidden/>
          </w:rPr>
          <w:fldChar w:fldCharType="separate"/>
        </w:r>
        <w:r>
          <w:rPr>
            <w:noProof/>
            <w:webHidden/>
          </w:rPr>
          <w:t>41</w:t>
        </w:r>
        <w:r>
          <w:rPr>
            <w:noProof/>
            <w:webHidden/>
          </w:rPr>
          <w:fldChar w:fldCharType="end"/>
        </w:r>
      </w:hyperlink>
    </w:p>
    <w:p w14:paraId="3E0905E6" w14:textId="77777777" w:rsidR="00AE5A9F" w:rsidRDefault="00AE5A9F">
      <w:pPr>
        <w:pStyle w:val="Seznamobrzk"/>
        <w:tabs>
          <w:tab w:val="right" w:leader="dot" w:pos="9010"/>
        </w:tabs>
        <w:rPr>
          <w:rFonts w:asciiTheme="minorHAnsi" w:eastAsiaTheme="minorEastAsia" w:hAnsiTheme="minorHAnsi" w:cstheme="minorBidi"/>
          <w:noProof/>
          <w:szCs w:val="22"/>
          <w:lang w:val="cs-CZ" w:eastAsia="cs-CZ"/>
        </w:rPr>
      </w:pPr>
      <w:hyperlink w:anchor="_Toc500705969" w:history="1">
        <w:r w:rsidRPr="00A01CF5">
          <w:rPr>
            <w:rStyle w:val="Hypertextovodkaz"/>
            <w:b/>
            <w:noProof/>
          </w:rPr>
          <w:t xml:space="preserve">Graf 14: </w:t>
        </w:r>
        <w:r w:rsidRPr="00A01CF5">
          <w:rPr>
            <w:rStyle w:val="Hypertextovodkaz"/>
            <w:noProof/>
          </w:rPr>
          <w:t>Rozdiel v počte osôb v ohrození chudobou a sociálnym vylúčením za rok 2014 v jednotlivých členských štátoch (v porovnaní s rokom 2008, absolútne počty v tis.). Zdroj: Eurostat 2015</w:t>
        </w:r>
        <w:r>
          <w:rPr>
            <w:noProof/>
            <w:webHidden/>
          </w:rPr>
          <w:tab/>
        </w:r>
        <w:r>
          <w:rPr>
            <w:noProof/>
            <w:webHidden/>
          </w:rPr>
          <w:fldChar w:fldCharType="begin"/>
        </w:r>
        <w:r>
          <w:rPr>
            <w:noProof/>
            <w:webHidden/>
          </w:rPr>
          <w:instrText xml:space="preserve"> PAGEREF _Toc500705969 \h </w:instrText>
        </w:r>
        <w:r>
          <w:rPr>
            <w:noProof/>
            <w:webHidden/>
          </w:rPr>
        </w:r>
        <w:r>
          <w:rPr>
            <w:noProof/>
            <w:webHidden/>
          </w:rPr>
          <w:fldChar w:fldCharType="separate"/>
        </w:r>
        <w:r>
          <w:rPr>
            <w:noProof/>
            <w:webHidden/>
          </w:rPr>
          <w:t>42</w:t>
        </w:r>
        <w:r>
          <w:rPr>
            <w:noProof/>
            <w:webHidden/>
          </w:rPr>
          <w:fldChar w:fldCharType="end"/>
        </w:r>
      </w:hyperlink>
    </w:p>
    <w:p w14:paraId="5FF6A0B4" w14:textId="01FC3021" w:rsidR="001E10E4" w:rsidRPr="000166D1" w:rsidRDefault="00A653FE" w:rsidP="00A653FE">
      <w:r w:rsidRPr="00617A57">
        <w:fldChar w:fldCharType="end"/>
      </w:r>
    </w:p>
    <w:sectPr w:rsidR="001E10E4" w:rsidRPr="000166D1" w:rsidSect="004542AD">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39DDC" w14:textId="77777777" w:rsidR="00B41D24" w:rsidRDefault="00B41D24" w:rsidP="0017159B">
      <w:pPr>
        <w:spacing w:after="0"/>
      </w:pPr>
      <w:r>
        <w:separator/>
      </w:r>
    </w:p>
  </w:endnote>
  <w:endnote w:type="continuationSeparator" w:id="0">
    <w:p w14:paraId="496FAB71" w14:textId="77777777" w:rsidR="00B41D24" w:rsidRDefault="00B41D24" w:rsidP="001715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Arial Hebrew">
    <w:altName w:val="Times New Roman"/>
    <w:charset w:val="B1"/>
    <w:family w:val="auto"/>
    <w:pitch w:val="variable"/>
    <w:sig w:usb0="00000000" w:usb1="40002002" w:usb2="00000000" w:usb3="00000000" w:csb0="0000002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385622"/>
      <w:docPartObj>
        <w:docPartGallery w:val="Page Numbers (Bottom of Page)"/>
        <w:docPartUnique/>
      </w:docPartObj>
    </w:sdtPr>
    <w:sdtEndPr/>
    <w:sdtContent>
      <w:p w14:paraId="00179ED0" w14:textId="2DC560AD" w:rsidR="005F376C" w:rsidRDefault="005F376C" w:rsidP="00024B70">
        <w:pPr>
          <w:pStyle w:val="Zpat"/>
          <w:jc w:val="center"/>
        </w:pPr>
        <w:r>
          <w:fldChar w:fldCharType="begin"/>
        </w:r>
        <w:r>
          <w:instrText>PAGE   \* MERGEFORMAT</w:instrText>
        </w:r>
        <w:r>
          <w:fldChar w:fldCharType="separate"/>
        </w:r>
        <w:r w:rsidR="009D4E9C">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22028" w14:textId="77777777" w:rsidR="00B41D24" w:rsidRDefault="00B41D24" w:rsidP="0017159B">
      <w:pPr>
        <w:spacing w:after="0"/>
      </w:pPr>
      <w:r>
        <w:separator/>
      </w:r>
    </w:p>
  </w:footnote>
  <w:footnote w:type="continuationSeparator" w:id="0">
    <w:p w14:paraId="3A7AEEAA" w14:textId="77777777" w:rsidR="00B41D24" w:rsidRDefault="00B41D24" w:rsidP="0017159B">
      <w:pPr>
        <w:spacing w:after="0"/>
      </w:pPr>
      <w:r>
        <w:continuationSeparator/>
      </w:r>
    </w:p>
  </w:footnote>
  <w:footnote w:id="1">
    <w:p w14:paraId="49AD0DBF" w14:textId="34EF1572" w:rsidR="005F376C" w:rsidRDefault="005F376C" w:rsidP="00EC7205">
      <w:pPr>
        <w:pStyle w:val="Textpoznpodarou"/>
      </w:pPr>
      <w:r>
        <w:rPr>
          <w:rStyle w:val="Znakapoznpodarou"/>
        </w:rPr>
        <w:footnoteRef/>
      </w:r>
      <w:r>
        <w:t xml:space="preserve"> Ide o nasledovné ciele: 1: </w:t>
      </w:r>
      <w:r w:rsidRPr="00A27A47">
        <w:t>Odstrániť CHUDOBU vo všetkých jej podobách kdekoľvek na svete</w:t>
      </w:r>
      <w:r>
        <w:t xml:space="preserve">, 2: </w:t>
      </w:r>
      <w:r w:rsidRPr="00A27A47">
        <w:t>Odstrániť HLAD, podvýživu a dosiahnuť potravinovú bezpečnosť</w:t>
      </w:r>
      <w:r>
        <w:t xml:space="preserve">, 3: </w:t>
      </w:r>
      <w:r w:rsidRPr="00A27A47">
        <w:t>Zaistiť ZDRAVÝ ŽIVOT a podporiť blahobyt</w:t>
      </w:r>
      <w:r>
        <w:t xml:space="preserve">, 4: </w:t>
      </w:r>
      <w:r w:rsidRPr="00A27A47">
        <w:t xml:space="preserve">Zabezpečiť </w:t>
      </w:r>
      <w:proofErr w:type="spellStart"/>
      <w:r>
        <w:t>inkluzívne</w:t>
      </w:r>
      <w:proofErr w:type="spellEnd"/>
      <w:r>
        <w:t xml:space="preserve"> VZDELÁVA</w:t>
      </w:r>
      <w:r w:rsidRPr="00A27A47">
        <w:t>NIE v rovnakej kvalite pre všetkých a podporiť celoživotné vzdelávanie</w:t>
      </w:r>
      <w:r>
        <w:t xml:space="preserve">, 5: </w:t>
      </w:r>
      <w:r w:rsidRPr="00A27A47">
        <w:t>Dosiahnuť RODOVÚ ROVNOSŤ a posilniť postavenie žien a dievčat</w:t>
      </w:r>
      <w:r>
        <w:t xml:space="preserve">, 6: </w:t>
      </w:r>
      <w:r w:rsidRPr="00A27A47">
        <w:t>Zaistiť dostupnosť VODY, udržateľný vodný manažment a sanitáciu</w:t>
      </w:r>
      <w:r>
        <w:t xml:space="preserve">, 7: </w:t>
      </w:r>
      <w:r w:rsidRPr="00A27A47">
        <w:t>Zabezpečiť prístup k dostupnej a udržateľnej ENERGII</w:t>
      </w:r>
      <w:r>
        <w:t xml:space="preserve">, 8: </w:t>
      </w:r>
      <w:r w:rsidRPr="00A27A47">
        <w:t>Podporiť udržateľný EKONOMICKÝ RAST, zamestnanosť a dôstojnú prácu</w:t>
      </w:r>
      <w:r>
        <w:t xml:space="preserve">, 9: </w:t>
      </w:r>
      <w:r w:rsidRPr="00A27A47">
        <w:t>Stavať odolnú INFRAŠTRUKTÚRU a podporiť udržateľnú industrializáciu a inovácie</w:t>
      </w:r>
      <w:r>
        <w:t xml:space="preserve">, 10: </w:t>
      </w:r>
      <w:r w:rsidRPr="00A27A47">
        <w:t>Znížiť NEROVNOSŤ v rámci krajín a medzi nimi</w:t>
      </w:r>
      <w:r>
        <w:t xml:space="preserve">, 11: </w:t>
      </w:r>
      <w:r w:rsidRPr="00A27A47">
        <w:t>Vytvárať bezpečné a odolné mestá a ĽUDSKÉ OSÍDLENIA</w:t>
      </w:r>
      <w:r>
        <w:t xml:space="preserve">, 12: </w:t>
      </w:r>
      <w:r w:rsidRPr="00A27A47">
        <w:t>Zabezpečiť udržateľnú SPOTREBU a VÝROBU</w:t>
      </w:r>
      <w:r>
        <w:t xml:space="preserve">, 13: </w:t>
      </w:r>
      <w:r w:rsidRPr="00A27A47">
        <w:t>Vykonať okamžité kroky v boji s KLIMATICKOU ZMENOU</w:t>
      </w:r>
      <w:r>
        <w:t xml:space="preserve">, 14: </w:t>
      </w:r>
      <w:r w:rsidRPr="00A27A47">
        <w:t>Zachovať a udržateľne využívať OCEÁNY a MORIA</w:t>
      </w:r>
      <w:r>
        <w:t xml:space="preserve">, 15: </w:t>
      </w:r>
      <w:r w:rsidRPr="00A27A47">
        <w:t>Chrániť pevninské EKOSYSTÉMY, podporovať udržateľný lesný manažment, bojovať proti rozširovani</w:t>
      </w:r>
      <w:r>
        <w:t>u</w:t>
      </w:r>
      <w:r w:rsidRPr="00A27A47">
        <w:t xml:space="preserve"> púští</w:t>
      </w:r>
      <w:r>
        <w:t xml:space="preserve">, 16: </w:t>
      </w:r>
      <w:r w:rsidRPr="00A27A47">
        <w:t>Zabezpečiť prístup k SPRAVODLIVOSTI pre všetkých, vytvoriť efektívne a zodpovedné inštitúcie</w:t>
      </w:r>
      <w:r>
        <w:t xml:space="preserve">, 17: </w:t>
      </w:r>
      <w:r w:rsidRPr="00A27A47">
        <w:t>Posilniť globálne PARTNERSTVO pre udržateľný rozvoj</w:t>
      </w:r>
      <w:r>
        <w:t xml:space="preserve">. Zdroj: United </w:t>
      </w:r>
      <w:proofErr w:type="spellStart"/>
      <w:r>
        <w:t>Nations</w:t>
      </w:r>
      <w:proofErr w:type="spellEnd"/>
      <w:r>
        <w:t xml:space="preserve"> (2017): </w:t>
      </w:r>
      <w:hyperlink r:id="rId1" w:history="1">
        <w:r w:rsidRPr="00EC7205">
          <w:rPr>
            <w:rStyle w:val="Hypertextovodkaz"/>
          </w:rPr>
          <w:t>Ciele udržateľného rozvoja</w:t>
        </w:r>
      </w:hyperlink>
      <w:r>
        <w:t>.</w:t>
      </w:r>
    </w:p>
  </w:footnote>
  <w:footnote w:id="2">
    <w:p w14:paraId="0EF5221F" w14:textId="77777777" w:rsidR="005F376C" w:rsidRDefault="005F376C" w:rsidP="00EC7205">
      <w:pPr>
        <w:pStyle w:val="Textpoznpodarou"/>
      </w:pPr>
      <w:r>
        <w:rPr>
          <w:rStyle w:val="Znakapoznpodarou"/>
        </w:rPr>
        <w:footnoteRef/>
      </w:r>
      <w:r>
        <w:t xml:space="preserve"> Ide o nasledovné výzvy: Potravinová bezpečnosť, </w:t>
      </w:r>
      <w:proofErr w:type="spellStart"/>
      <w:r>
        <w:t>Inkluzívny</w:t>
      </w:r>
      <w:proofErr w:type="spellEnd"/>
      <w:r>
        <w:t xml:space="preserve"> rast, Budúci svet práce, Klimatická zmena, Budúcnosť globálneho finančného systému, Budúcnosť internetu, Rodová rovnoprávnosť, Budúcnosť globálneho obchodu a investícií, Dlhodobé investície, infraštruktúra a ekonomický rozvoj a Budúcnosť zdravotníctva. Zdroj: </w:t>
      </w:r>
      <w:proofErr w:type="spellStart"/>
      <w:r>
        <w:t>World</w:t>
      </w:r>
      <w:proofErr w:type="spellEnd"/>
      <w:r>
        <w:t xml:space="preserve"> </w:t>
      </w:r>
      <w:proofErr w:type="spellStart"/>
      <w:r>
        <w:t>Economic</w:t>
      </w:r>
      <w:proofErr w:type="spellEnd"/>
      <w:r>
        <w:t xml:space="preserve"> </w:t>
      </w:r>
      <w:proofErr w:type="spellStart"/>
      <w:r>
        <w:t>Forum</w:t>
      </w:r>
      <w:proofErr w:type="spellEnd"/>
      <w:r>
        <w:t xml:space="preserve"> (2015): </w:t>
      </w:r>
      <w:hyperlink r:id="rId2" w:history="1">
        <w:r w:rsidRPr="00EC7205">
          <w:rPr>
            <w:rStyle w:val="Hypertextovodkaz"/>
          </w:rPr>
          <w:t xml:space="preserve">10 </w:t>
        </w:r>
        <w:proofErr w:type="spellStart"/>
        <w:r w:rsidRPr="00EC7205">
          <w:rPr>
            <w:rStyle w:val="Hypertextovodkaz"/>
          </w:rPr>
          <w:t>key</w:t>
        </w:r>
        <w:proofErr w:type="spellEnd"/>
        <w:r w:rsidRPr="00EC7205">
          <w:rPr>
            <w:rStyle w:val="Hypertextovodkaz"/>
          </w:rPr>
          <w:t xml:space="preserve"> </w:t>
        </w:r>
        <w:proofErr w:type="spellStart"/>
        <w:r w:rsidRPr="00EC7205">
          <w:rPr>
            <w:rStyle w:val="Hypertextovodkaz"/>
          </w:rPr>
          <w:t>global</w:t>
        </w:r>
        <w:proofErr w:type="spellEnd"/>
        <w:r w:rsidRPr="00EC7205">
          <w:rPr>
            <w:rStyle w:val="Hypertextovodkaz"/>
          </w:rPr>
          <w:t xml:space="preserve"> </w:t>
        </w:r>
        <w:proofErr w:type="spellStart"/>
        <w:r w:rsidRPr="00EC7205">
          <w:rPr>
            <w:rStyle w:val="Hypertextovodkaz"/>
          </w:rPr>
          <w:t>challenges</w:t>
        </w:r>
        <w:proofErr w:type="spellEnd"/>
      </w:hyperlink>
      <w:r>
        <w:t>.</w:t>
      </w:r>
    </w:p>
  </w:footnote>
  <w:footnote w:id="3">
    <w:p w14:paraId="2FD4DFAB" w14:textId="71F097EF" w:rsidR="005F376C" w:rsidRDefault="005F376C" w:rsidP="00332AC6">
      <w:pPr>
        <w:pStyle w:val="Textpoznpodarou"/>
      </w:pPr>
      <w:r>
        <w:rPr>
          <w:rStyle w:val="Znakapoznpodarou"/>
        </w:rPr>
        <w:footnoteRef/>
      </w:r>
      <w:r>
        <w:t xml:space="preserve"> Inštitút finančnej politiky </w:t>
      </w:r>
      <w:r w:rsidRPr="00DD293B">
        <w:t>na základe zaostávania vo výsledkových ukazovateľoch oproti priemeru OECD alebo EÚ</w:t>
      </w:r>
      <w:r>
        <w:t xml:space="preserve"> identifikoval ako tri najväčšie výzvy Slovenska (1) kvalitu</w:t>
      </w:r>
      <w:r w:rsidRPr="00DD293B">
        <w:t xml:space="preserve"> základného školstva</w:t>
      </w:r>
      <w:r>
        <w:t>, (2) trh</w:t>
      </w:r>
      <w:r w:rsidRPr="00DD293B">
        <w:t xml:space="preserve"> práce </w:t>
      </w:r>
      <w:r>
        <w:t>a (3)</w:t>
      </w:r>
      <w:r w:rsidRPr="00DD293B">
        <w:t xml:space="preserve"> kvalit</w:t>
      </w:r>
      <w:r>
        <w:t>u</w:t>
      </w:r>
      <w:r w:rsidRPr="00DD293B">
        <w:t xml:space="preserve"> zdravotnej starostlivosti</w:t>
      </w:r>
      <w:r>
        <w:t xml:space="preserve">. Tieto výzvy sa prelínajú so 17 cieľmi SDG a 10 výzvami WEF. Zdroj: IFP (2017): </w:t>
      </w:r>
      <w:hyperlink r:id="rId3" w:history="1">
        <w:r w:rsidRPr="00DD293B">
          <w:rPr>
            <w:rStyle w:val="Hypertextovodkaz"/>
          </w:rPr>
          <w:t>Tri výzvy slovenskej ekonomiky</w:t>
        </w:r>
      </w:hyperlink>
      <w:r>
        <w:t>. Manuál. Aktualizácia metodiky identifikácie priorít Slovenska. Marec 2017 a IFP (2017): </w:t>
      </w:r>
      <w:hyperlink r:id="rId4" w:history="1">
        <w:r w:rsidRPr="0022338B">
          <w:rPr>
            <w:rStyle w:val="Hypertextovodkaz"/>
          </w:rPr>
          <w:t>Národný program reforiem Slovenskej republiky 2017</w:t>
        </w:r>
      </w:hyperlink>
      <w:r>
        <w:t>.</w:t>
      </w:r>
    </w:p>
    <w:p w14:paraId="285B462F" w14:textId="4236BCA5" w:rsidR="005F376C" w:rsidRDefault="005F376C" w:rsidP="00DD293B">
      <w:pPr>
        <w:pStyle w:val="Textpoznpodarou"/>
      </w:pPr>
    </w:p>
  </w:footnote>
  <w:footnote w:id="4">
    <w:p w14:paraId="06286931" w14:textId="2DB3E95F" w:rsidR="005F376C" w:rsidRDefault="005F376C" w:rsidP="00027B89">
      <w:pPr>
        <w:pStyle w:val="Textpoznpodarou"/>
      </w:pPr>
      <w:r>
        <w:rPr>
          <w:rStyle w:val="Znakapoznpodarou"/>
        </w:rPr>
        <w:footnoteRef/>
      </w:r>
      <w:r>
        <w:t xml:space="preserve"> Ako súčasť</w:t>
      </w:r>
      <w:r w:rsidRPr="00F3507B">
        <w:t xml:space="preserve"> realizácie </w:t>
      </w:r>
      <w:proofErr w:type="spellStart"/>
      <w:r w:rsidRPr="00F3507B">
        <w:t>participatívneho</w:t>
      </w:r>
      <w:proofErr w:type="spellEnd"/>
      <w:r w:rsidRPr="00F3507B">
        <w:t xml:space="preserve"> procesu bud</w:t>
      </w:r>
      <w:r>
        <w:t>e</w:t>
      </w:r>
      <w:r w:rsidRPr="00F3507B">
        <w:t xml:space="preserve"> diskutovaná aj problematika záväzkov Slovenska </w:t>
      </w:r>
      <w:r>
        <w:t>ako rozvinutej krajiny</w:t>
      </w:r>
      <w:r w:rsidRPr="00F3507B">
        <w:t xml:space="preserve"> </w:t>
      </w:r>
      <w:r>
        <w:t>hlásiacej sa k</w:t>
      </w:r>
      <w:r w:rsidRPr="00F3507B">
        <w:t xml:space="preserve"> Oficiálnej rozvojovej pomoci (ODA).</w:t>
      </w:r>
      <w:r>
        <w:rPr>
          <w:sz w:val="24"/>
          <w:szCs w:val="24"/>
        </w:rPr>
        <w:t xml:space="preserve"> </w:t>
      </w:r>
    </w:p>
  </w:footnote>
  <w:footnote w:id="5">
    <w:p w14:paraId="23C2D61B" w14:textId="0FE41B20" w:rsidR="005F376C" w:rsidRDefault="005F376C">
      <w:pPr>
        <w:pStyle w:val="Textpoznpodarou"/>
      </w:pPr>
      <w:r>
        <w:rPr>
          <w:rStyle w:val="Znakapoznpodarou"/>
        </w:rPr>
        <w:footnoteRef/>
      </w:r>
      <w:r>
        <w:t xml:space="preserve"> </w:t>
      </w:r>
      <w:proofErr w:type="spellStart"/>
      <w:r w:rsidRPr="00132BE0">
        <w:t>Spence</w:t>
      </w:r>
      <w:proofErr w:type="spellEnd"/>
      <w:r w:rsidRPr="00132BE0">
        <w:t xml:space="preserve"> A.M. (2014)</w:t>
      </w:r>
      <w:r>
        <w:t>:</w:t>
      </w:r>
      <w:r w:rsidRPr="00132BE0">
        <w:t xml:space="preserve"> </w:t>
      </w:r>
      <w:proofErr w:type="spellStart"/>
      <w:r w:rsidRPr="00132BE0">
        <w:rPr>
          <w:i/>
        </w:rPr>
        <w:t>Long</w:t>
      </w:r>
      <w:proofErr w:type="spellEnd"/>
      <w:r w:rsidRPr="00132BE0">
        <w:rPr>
          <w:i/>
        </w:rPr>
        <w:t xml:space="preserve">-Term </w:t>
      </w:r>
      <w:proofErr w:type="spellStart"/>
      <w:r w:rsidRPr="00132BE0">
        <w:rPr>
          <w:i/>
        </w:rPr>
        <w:t>Trends</w:t>
      </w:r>
      <w:proofErr w:type="spellEnd"/>
      <w:r w:rsidRPr="00132BE0">
        <w:rPr>
          <w:i/>
        </w:rPr>
        <w:t xml:space="preserve"> and </w:t>
      </w:r>
      <w:proofErr w:type="spellStart"/>
      <w:r w:rsidRPr="00132BE0">
        <w:rPr>
          <w:i/>
        </w:rPr>
        <w:t>Structural</w:t>
      </w:r>
      <w:proofErr w:type="spellEnd"/>
      <w:r w:rsidRPr="00132BE0">
        <w:rPr>
          <w:i/>
        </w:rPr>
        <w:t xml:space="preserve"> </w:t>
      </w:r>
      <w:proofErr w:type="spellStart"/>
      <w:r w:rsidRPr="00132BE0">
        <w:rPr>
          <w:i/>
        </w:rPr>
        <w:t>Changes</w:t>
      </w:r>
      <w:proofErr w:type="spellEnd"/>
      <w:r w:rsidRPr="00132BE0">
        <w:rPr>
          <w:i/>
        </w:rPr>
        <w:t xml:space="preserve"> in </w:t>
      </w:r>
      <w:proofErr w:type="spellStart"/>
      <w:r w:rsidRPr="00132BE0">
        <w:rPr>
          <w:i/>
        </w:rPr>
        <w:t>the</w:t>
      </w:r>
      <w:proofErr w:type="spellEnd"/>
      <w:r w:rsidRPr="00132BE0">
        <w:rPr>
          <w:i/>
        </w:rPr>
        <w:t xml:space="preserve"> </w:t>
      </w:r>
      <w:proofErr w:type="spellStart"/>
      <w:r w:rsidRPr="00132BE0">
        <w:rPr>
          <w:i/>
        </w:rPr>
        <w:t>Global</w:t>
      </w:r>
      <w:proofErr w:type="spellEnd"/>
      <w:r w:rsidRPr="00132BE0">
        <w:rPr>
          <w:i/>
        </w:rPr>
        <w:t xml:space="preserve"> </w:t>
      </w:r>
      <w:proofErr w:type="spellStart"/>
      <w:r w:rsidRPr="00132BE0">
        <w:rPr>
          <w:i/>
        </w:rPr>
        <w:t>Economy</w:t>
      </w:r>
      <w:proofErr w:type="spellEnd"/>
      <w:r w:rsidRPr="00132BE0">
        <w:t xml:space="preserve">. In: </w:t>
      </w:r>
      <w:proofErr w:type="spellStart"/>
      <w:r w:rsidRPr="00132BE0">
        <w:t>Solow</w:t>
      </w:r>
      <w:proofErr w:type="spellEnd"/>
      <w:r w:rsidRPr="00132BE0">
        <w:t xml:space="preserve"> R.M., Murray J. (</w:t>
      </w:r>
      <w:proofErr w:type="spellStart"/>
      <w:r w:rsidRPr="00132BE0">
        <w:t>eds</w:t>
      </w:r>
      <w:proofErr w:type="spellEnd"/>
      <w:r w:rsidRPr="00132BE0">
        <w:t xml:space="preserve">) </w:t>
      </w:r>
      <w:proofErr w:type="spellStart"/>
      <w:r w:rsidRPr="00132BE0">
        <w:t>Economics</w:t>
      </w:r>
      <w:proofErr w:type="spellEnd"/>
      <w:r w:rsidRPr="00132BE0">
        <w:t xml:space="preserve"> </w:t>
      </w:r>
      <w:proofErr w:type="spellStart"/>
      <w:r w:rsidRPr="00132BE0">
        <w:t>for</w:t>
      </w:r>
      <w:proofErr w:type="spellEnd"/>
      <w:r w:rsidRPr="00132BE0">
        <w:t xml:space="preserve"> </w:t>
      </w:r>
      <w:proofErr w:type="spellStart"/>
      <w:r w:rsidRPr="00132BE0">
        <w:t>the</w:t>
      </w:r>
      <w:proofErr w:type="spellEnd"/>
      <w:r w:rsidRPr="00132BE0">
        <w:t xml:space="preserve"> </w:t>
      </w:r>
      <w:proofErr w:type="spellStart"/>
      <w:r w:rsidRPr="00132BE0">
        <w:t>Curious</w:t>
      </w:r>
      <w:proofErr w:type="spellEnd"/>
      <w:r w:rsidRPr="00132BE0">
        <w:t xml:space="preserve">. </w:t>
      </w:r>
      <w:proofErr w:type="spellStart"/>
      <w:r w:rsidRPr="00132BE0">
        <w:t>Palgrave</w:t>
      </w:r>
      <w:proofErr w:type="spellEnd"/>
      <w:r w:rsidRPr="00132BE0">
        <w:t xml:space="preserve"> </w:t>
      </w:r>
      <w:proofErr w:type="spellStart"/>
      <w:r w:rsidRPr="00132BE0">
        <w:t>Macmillan</w:t>
      </w:r>
      <w:proofErr w:type="spellEnd"/>
      <w:r w:rsidRPr="00132BE0">
        <w:t xml:space="preserve">, </w:t>
      </w:r>
      <w:proofErr w:type="spellStart"/>
      <w:r w:rsidRPr="00132BE0">
        <w:t>London</w:t>
      </w:r>
      <w:proofErr w:type="spellEnd"/>
      <w:r>
        <w:t>.</w:t>
      </w:r>
    </w:p>
  </w:footnote>
  <w:footnote w:id="6">
    <w:p w14:paraId="38FFA06E" w14:textId="3ED641CC" w:rsidR="005F376C" w:rsidRDefault="005F376C" w:rsidP="008A507C">
      <w:pPr>
        <w:pStyle w:val="Textpoznpodarou"/>
      </w:pPr>
      <w:r>
        <w:rPr>
          <w:rStyle w:val="Znakapoznpodarou"/>
        </w:rPr>
        <w:footnoteRef/>
      </w:r>
      <w:r>
        <w:t xml:space="preserve"> United </w:t>
      </w:r>
      <w:proofErr w:type="spellStart"/>
      <w:r>
        <w:t>Nations</w:t>
      </w:r>
      <w:proofErr w:type="spellEnd"/>
      <w:r>
        <w:t xml:space="preserve"> (2017): </w:t>
      </w:r>
      <w:proofErr w:type="spellStart"/>
      <w:r w:rsidRPr="00B5210F">
        <w:rPr>
          <w:i/>
        </w:rPr>
        <w:t>World</w:t>
      </w:r>
      <w:proofErr w:type="spellEnd"/>
      <w:r w:rsidRPr="00B5210F">
        <w:rPr>
          <w:i/>
        </w:rPr>
        <w:t xml:space="preserve"> </w:t>
      </w:r>
      <w:proofErr w:type="spellStart"/>
      <w:r w:rsidRPr="00B5210F">
        <w:rPr>
          <w:i/>
        </w:rPr>
        <w:t>Population</w:t>
      </w:r>
      <w:proofErr w:type="spellEnd"/>
      <w:r w:rsidRPr="00B5210F">
        <w:rPr>
          <w:i/>
        </w:rPr>
        <w:t xml:space="preserve"> </w:t>
      </w:r>
      <w:proofErr w:type="spellStart"/>
      <w:r w:rsidRPr="00B5210F">
        <w:rPr>
          <w:i/>
        </w:rPr>
        <w:t>Prospects</w:t>
      </w:r>
      <w:proofErr w:type="spellEnd"/>
      <w:r w:rsidRPr="00B5210F">
        <w:rPr>
          <w:i/>
        </w:rPr>
        <w:t xml:space="preserve">. </w:t>
      </w:r>
      <w:proofErr w:type="spellStart"/>
      <w:r w:rsidRPr="00B5210F">
        <w:rPr>
          <w:i/>
        </w:rPr>
        <w:t>The</w:t>
      </w:r>
      <w:proofErr w:type="spellEnd"/>
      <w:r w:rsidRPr="00B5210F">
        <w:rPr>
          <w:i/>
        </w:rPr>
        <w:t xml:space="preserve"> 2017 </w:t>
      </w:r>
      <w:proofErr w:type="spellStart"/>
      <w:r w:rsidRPr="00B5210F">
        <w:rPr>
          <w:i/>
        </w:rPr>
        <w:t>Revision</w:t>
      </w:r>
      <w:proofErr w:type="spellEnd"/>
      <w:r w:rsidRPr="00B5210F">
        <w:rPr>
          <w:i/>
        </w:rPr>
        <w:t xml:space="preserve">. </w:t>
      </w:r>
      <w:proofErr w:type="spellStart"/>
      <w:r w:rsidRPr="00B5210F">
        <w:rPr>
          <w:i/>
        </w:rPr>
        <w:t>Key</w:t>
      </w:r>
      <w:proofErr w:type="spellEnd"/>
      <w:r w:rsidRPr="00B5210F">
        <w:rPr>
          <w:i/>
        </w:rPr>
        <w:t xml:space="preserve"> </w:t>
      </w:r>
      <w:proofErr w:type="spellStart"/>
      <w:r w:rsidRPr="00B5210F">
        <w:rPr>
          <w:i/>
        </w:rPr>
        <w:t>Findings</w:t>
      </w:r>
      <w:proofErr w:type="spellEnd"/>
      <w:r w:rsidRPr="00B5210F">
        <w:rPr>
          <w:i/>
        </w:rPr>
        <w:t xml:space="preserve"> and </w:t>
      </w:r>
      <w:proofErr w:type="spellStart"/>
      <w:r w:rsidRPr="00B5210F">
        <w:rPr>
          <w:i/>
        </w:rPr>
        <w:t>Advance</w:t>
      </w:r>
      <w:proofErr w:type="spellEnd"/>
      <w:r w:rsidRPr="00B5210F">
        <w:rPr>
          <w:i/>
        </w:rPr>
        <w:t xml:space="preserve"> </w:t>
      </w:r>
      <w:proofErr w:type="spellStart"/>
      <w:r w:rsidRPr="00B5210F">
        <w:rPr>
          <w:i/>
        </w:rPr>
        <w:t>Tables</w:t>
      </w:r>
      <w:proofErr w:type="spellEnd"/>
      <w:r>
        <w:t xml:space="preserve">, UN Department of </w:t>
      </w:r>
      <w:proofErr w:type="spellStart"/>
      <w:r>
        <w:t>Economic</w:t>
      </w:r>
      <w:proofErr w:type="spellEnd"/>
      <w:r>
        <w:t xml:space="preserve"> and </w:t>
      </w:r>
      <w:proofErr w:type="spellStart"/>
      <w:r>
        <w:t>Social</w:t>
      </w:r>
      <w:proofErr w:type="spellEnd"/>
      <w:r>
        <w:t xml:space="preserve"> </w:t>
      </w:r>
      <w:proofErr w:type="spellStart"/>
      <w:r>
        <w:t>Affairs</w:t>
      </w:r>
      <w:proofErr w:type="spellEnd"/>
      <w:r>
        <w:t xml:space="preserve"> </w:t>
      </w:r>
      <w:proofErr w:type="spellStart"/>
      <w:r>
        <w:t>Population</w:t>
      </w:r>
      <w:proofErr w:type="spellEnd"/>
      <w:r>
        <w:t xml:space="preserve"> </w:t>
      </w:r>
      <w:proofErr w:type="spellStart"/>
      <w:r>
        <w:t>Division</w:t>
      </w:r>
      <w:proofErr w:type="spellEnd"/>
    </w:p>
  </w:footnote>
  <w:footnote w:id="7">
    <w:p w14:paraId="2FF0841F" w14:textId="6E5AA105" w:rsidR="005F376C" w:rsidRDefault="005F376C" w:rsidP="008A507C">
      <w:pPr>
        <w:pStyle w:val="Textpoznpodarou"/>
      </w:pPr>
      <w:r>
        <w:rPr>
          <w:rStyle w:val="Znakapoznpodarou"/>
        </w:rPr>
        <w:footnoteRef/>
      </w:r>
      <w:r>
        <w:t xml:space="preserve"> OECD (2016): </w:t>
      </w:r>
      <w:proofErr w:type="spellStart"/>
      <w:r w:rsidRPr="00B5210F">
        <w:rPr>
          <w:i/>
        </w:rPr>
        <w:t>Megatrends</w:t>
      </w:r>
      <w:proofErr w:type="spellEnd"/>
      <w:r w:rsidRPr="00B5210F">
        <w:rPr>
          <w:i/>
        </w:rPr>
        <w:t xml:space="preserve"> </w:t>
      </w:r>
      <w:proofErr w:type="spellStart"/>
      <w:r w:rsidRPr="00B5210F">
        <w:rPr>
          <w:i/>
        </w:rPr>
        <w:t>affecting</w:t>
      </w:r>
      <w:proofErr w:type="spellEnd"/>
      <w:r w:rsidRPr="00B5210F">
        <w:rPr>
          <w:i/>
        </w:rPr>
        <w:t xml:space="preserve"> </w:t>
      </w:r>
      <w:proofErr w:type="spellStart"/>
      <w:r w:rsidRPr="00B5210F">
        <w:rPr>
          <w:i/>
        </w:rPr>
        <w:t>science</w:t>
      </w:r>
      <w:proofErr w:type="spellEnd"/>
      <w:r w:rsidRPr="00B5210F">
        <w:rPr>
          <w:i/>
        </w:rPr>
        <w:t xml:space="preserve">, </w:t>
      </w:r>
      <w:proofErr w:type="spellStart"/>
      <w:r w:rsidRPr="00B5210F">
        <w:rPr>
          <w:i/>
        </w:rPr>
        <w:t>technology</w:t>
      </w:r>
      <w:proofErr w:type="spellEnd"/>
      <w:r w:rsidRPr="00B5210F">
        <w:rPr>
          <w:i/>
        </w:rPr>
        <w:t xml:space="preserve"> and </w:t>
      </w:r>
      <w:proofErr w:type="spellStart"/>
      <w:r w:rsidRPr="00B5210F">
        <w:rPr>
          <w:i/>
        </w:rPr>
        <w:t>innovation</w:t>
      </w:r>
      <w:proofErr w:type="spellEnd"/>
      <w:r>
        <w:t xml:space="preserve">, OECD: </w:t>
      </w:r>
      <w:proofErr w:type="spellStart"/>
      <w:r>
        <w:t>Paris</w:t>
      </w:r>
      <w:proofErr w:type="spellEnd"/>
    </w:p>
  </w:footnote>
  <w:footnote w:id="8">
    <w:p w14:paraId="424026A1" w14:textId="36C0F71D" w:rsidR="005F376C" w:rsidRDefault="005F376C" w:rsidP="008A507C">
      <w:pPr>
        <w:pStyle w:val="Textpoznpodarou"/>
      </w:pPr>
      <w:r>
        <w:rPr>
          <w:rStyle w:val="Znakapoznpodarou"/>
        </w:rPr>
        <w:footnoteRef/>
      </w:r>
      <w:r>
        <w:t xml:space="preserve"> </w:t>
      </w:r>
      <w:proofErr w:type="spellStart"/>
      <w:r>
        <w:t>World</w:t>
      </w:r>
      <w:proofErr w:type="spellEnd"/>
      <w:r>
        <w:t xml:space="preserve"> </w:t>
      </w:r>
      <w:proofErr w:type="spellStart"/>
      <w:r>
        <w:t>Economic</w:t>
      </w:r>
      <w:proofErr w:type="spellEnd"/>
      <w:r>
        <w:t xml:space="preserve"> </w:t>
      </w:r>
      <w:proofErr w:type="spellStart"/>
      <w:r>
        <w:t>Forum</w:t>
      </w:r>
      <w:proofErr w:type="spellEnd"/>
      <w:r>
        <w:t xml:space="preserve"> (2015):</w:t>
      </w:r>
      <w:r w:rsidRPr="008A507C">
        <w:t xml:space="preserve"> </w:t>
      </w:r>
      <w:proofErr w:type="spellStart"/>
      <w:r w:rsidRPr="00B5210F">
        <w:rPr>
          <w:i/>
        </w:rPr>
        <w:t>Deep</w:t>
      </w:r>
      <w:proofErr w:type="spellEnd"/>
      <w:r w:rsidRPr="00B5210F">
        <w:rPr>
          <w:i/>
        </w:rPr>
        <w:t xml:space="preserve"> </w:t>
      </w:r>
      <w:proofErr w:type="spellStart"/>
      <w:r w:rsidRPr="00B5210F">
        <w:rPr>
          <w:i/>
        </w:rPr>
        <w:t>Shift</w:t>
      </w:r>
      <w:proofErr w:type="spellEnd"/>
      <w:r w:rsidRPr="00B5210F">
        <w:rPr>
          <w:i/>
        </w:rPr>
        <w:t xml:space="preserve"> </w:t>
      </w:r>
      <w:proofErr w:type="spellStart"/>
      <w:r w:rsidRPr="00B5210F">
        <w:rPr>
          <w:i/>
        </w:rPr>
        <w:t>Technology</w:t>
      </w:r>
      <w:proofErr w:type="spellEnd"/>
      <w:r w:rsidRPr="00B5210F">
        <w:rPr>
          <w:i/>
        </w:rPr>
        <w:t xml:space="preserve"> </w:t>
      </w:r>
      <w:proofErr w:type="spellStart"/>
      <w:r w:rsidRPr="00B5210F">
        <w:rPr>
          <w:i/>
        </w:rPr>
        <w:t>Tipping</w:t>
      </w:r>
      <w:proofErr w:type="spellEnd"/>
      <w:r w:rsidRPr="00B5210F">
        <w:rPr>
          <w:i/>
        </w:rPr>
        <w:t xml:space="preserve"> </w:t>
      </w:r>
      <w:proofErr w:type="spellStart"/>
      <w:r w:rsidRPr="00B5210F">
        <w:rPr>
          <w:i/>
        </w:rPr>
        <w:t>Points</w:t>
      </w:r>
      <w:proofErr w:type="spellEnd"/>
      <w:r w:rsidRPr="00B5210F">
        <w:rPr>
          <w:i/>
        </w:rPr>
        <w:t xml:space="preserve"> and </w:t>
      </w:r>
      <w:proofErr w:type="spellStart"/>
      <w:r w:rsidRPr="00B5210F">
        <w:rPr>
          <w:i/>
        </w:rPr>
        <w:t>Societal</w:t>
      </w:r>
      <w:proofErr w:type="spellEnd"/>
      <w:r w:rsidRPr="00B5210F">
        <w:rPr>
          <w:i/>
        </w:rPr>
        <w:t xml:space="preserve"> </w:t>
      </w:r>
      <w:proofErr w:type="spellStart"/>
      <w:r w:rsidRPr="00B5210F">
        <w:rPr>
          <w:i/>
        </w:rPr>
        <w:t>Impact</w:t>
      </w:r>
      <w:proofErr w:type="spellEnd"/>
      <w:r>
        <w:t xml:space="preserve">, WEF: </w:t>
      </w:r>
      <w:proofErr w:type="spellStart"/>
      <w:r>
        <w:t>Geneva</w:t>
      </w:r>
      <w:proofErr w:type="spellEnd"/>
    </w:p>
  </w:footnote>
  <w:footnote w:id="9">
    <w:p w14:paraId="6E4964E1" w14:textId="0F751976" w:rsidR="005F376C" w:rsidRDefault="005F376C">
      <w:pPr>
        <w:pStyle w:val="Textpoznpodarou"/>
      </w:pPr>
      <w:r>
        <w:rPr>
          <w:rStyle w:val="Znakapoznpodarou"/>
        </w:rPr>
        <w:footnoteRef/>
      </w:r>
      <w:r>
        <w:t xml:space="preserve"> </w:t>
      </w:r>
      <w:r w:rsidRPr="00B5210F">
        <w:t>Centrum spolo</w:t>
      </w:r>
      <w:r>
        <w:t xml:space="preserve">čenských a psychologických vied (2016): </w:t>
      </w:r>
      <w:r w:rsidRPr="00B5210F">
        <w:rPr>
          <w:i/>
        </w:rPr>
        <w:t>Globálne megatrendy: Hodnotenie a výzvy</w:t>
      </w:r>
      <w:r>
        <w:t>.</w:t>
      </w:r>
      <w:r w:rsidRPr="00B5210F">
        <w:t xml:space="preserve"> Slovenská akadémia vied</w:t>
      </w:r>
    </w:p>
  </w:footnote>
  <w:footnote w:id="10">
    <w:p w14:paraId="23C3B4A5" w14:textId="6B70D89C" w:rsidR="005F376C" w:rsidRPr="008A507C" w:rsidRDefault="005F376C">
      <w:pPr>
        <w:pStyle w:val="Textpoznpodarou"/>
      </w:pPr>
      <w:r>
        <w:rPr>
          <w:rStyle w:val="Znakapoznpodarou"/>
        </w:rPr>
        <w:footnoteRef/>
      </w:r>
      <w:r>
        <w:t xml:space="preserve"> International </w:t>
      </w:r>
      <w:proofErr w:type="spellStart"/>
      <w:r>
        <w:t>Monetary</w:t>
      </w:r>
      <w:proofErr w:type="spellEnd"/>
      <w:r>
        <w:t xml:space="preserve"> </w:t>
      </w:r>
      <w:proofErr w:type="spellStart"/>
      <w:r>
        <w:t>Fund</w:t>
      </w:r>
      <w:proofErr w:type="spellEnd"/>
      <w:r>
        <w:t xml:space="preserve"> (2016):</w:t>
      </w:r>
      <w:proofErr w:type="spellStart"/>
      <w:r w:rsidRPr="00B5210F">
        <w:rPr>
          <w:i/>
        </w:rPr>
        <w:t>Globalisation</w:t>
      </w:r>
      <w:proofErr w:type="spellEnd"/>
      <w:r w:rsidRPr="00B5210F">
        <w:rPr>
          <w:i/>
        </w:rPr>
        <w:t xml:space="preserve">. </w:t>
      </w:r>
      <w:proofErr w:type="spellStart"/>
      <w:r w:rsidRPr="00B5210F">
        <w:rPr>
          <w:i/>
        </w:rPr>
        <w:t>Insiders</w:t>
      </w:r>
      <w:proofErr w:type="spellEnd"/>
      <w:r w:rsidRPr="00B5210F">
        <w:rPr>
          <w:i/>
        </w:rPr>
        <w:t xml:space="preserve"> and </w:t>
      </w:r>
      <w:proofErr w:type="spellStart"/>
      <w:r w:rsidRPr="00B5210F">
        <w:rPr>
          <w:i/>
        </w:rPr>
        <w:t>Outsiders</w:t>
      </w:r>
      <w:proofErr w:type="spellEnd"/>
      <w:r>
        <w:t xml:space="preserve">. </w:t>
      </w:r>
      <w:proofErr w:type="spellStart"/>
      <w:r>
        <w:t>Finance</w:t>
      </w:r>
      <w:proofErr w:type="spellEnd"/>
      <w:r>
        <w:t xml:space="preserve"> </w:t>
      </w:r>
      <w:r>
        <w:rPr>
          <w:lang w:val="en-US"/>
        </w:rPr>
        <w:t>&amp;</w:t>
      </w:r>
      <w:r>
        <w:rPr>
          <w:lang w:val="en-GB"/>
        </w:rPr>
        <w:t xml:space="preserve"> D</w:t>
      </w:r>
      <w:proofErr w:type="spellStart"/>
      <w:r>
        <w:t>evelopment</w:t>
      </w:r>
      <w:proofErr w:type="spellEnd"/>
      <w:r>
        <w:t xml:space="preserve"> 53(4).</w:t>
      </w:r>
    </w:p>
  </w:footnote>
  <w:footnote w:id="11">
    <w:p w14:paraId="5E5BED0B" w14:textId="0098070C" w:rsidR="005F376C" w:rsidRDefault="005F376C">
      <w:pPr>
        <w:pStyle w:val="Textpoznpodarou"/>
      </w:pPr>
      <w:r>
        <w:rPr>
          <w:rStyle w:val="Znakapoznpodarou"/>
        </w:rPr>
        <w:footnoteRef/>
      </w:r>
      <w:r>
        <w:t xml:space="preserve"> </w:t>
      </w:r>
      <w:proofErr w:type="spellStart"/>
      <w:r>
        <w:t>Eurostat</w:t>
      </w:r>
      <w:proofErr w:type="spellEnd"/>
      <w:r>
        <w:t xml:space="preserve"> (2017</w:t>
      </w:r>
      <w:r w:rsidRPr="00B6415B">
        <w:t xml:space="preserve">): </w:t>
      </w:r>
      <w:proofErr w:type="spellStart"/>
      <w:r w:rsidRPr="00B6415B">
        <w:t>Labour</w:t>
      </w:r>
      <w:proofErr w:type="spellEnd"/>
      <w:r w:rsidRPr="00B6415B">
        <w:t xml:space="preserve"> </w:t>
      </w:r>
      <w:proofErr w:type="spellStart"/>
      <w:r w:rsidRPr="00B6415B">
        <w:t>productivity</w:t>
      </w:r>
      <w:proofErr w:type="spellEnd"/>
      <w:r w:rsidRPr="00B6415B">
        <w:t xml:space="preserve"> and </w:t>
      </w:r>
      <w:proofErr w:type="spellStart"/>
      <w:r w:rsidRPr="00B6415B">
        <w:t>unit</w:t>
      </w:r>
      <w:proofErr w:type="spellEnd"/>
      <w:r w:rsidRPr="00B6415B">
        <w:t xml:space="preserve"> </w:t>
      </w:r>
      <w:proofErr w:type="spellStart"/>
      <w:r w:rsidRPr="00B6415B">
        <w:t>labour</w:t>
      </w:r>
      <w:proofErr w:type="spellEnd"/>
      <w:r w:rsidRPr="00B6415B">
        <w:t xml:space="preserve"> </w:t>
      </w:r>
      <w:proofErr w:type="spellStart"/>
      <w:r w:rsidRPr="00B6415B">
        <w:t>costs</w:t>
      </w:r>
      <w:proofErr w:type="spellEnd"/>
      <w:r w:rsidRPr="00B6415B">
        <w:t xml:space="preserve"> </w:t>
      </w:r>
      <w:r>
        <w:t xml:space="preserve">a </w:t>
      </w:r>
      <w:proofErr w:type="spellStart"/>
      <w:r>
        <w:t>Main</w:t>
      </w:r>
      <w:proofErr w:type="spellEnd"/>
      <w:r>
        <w:t xml:space="preserve"> GDP </w:t>
      </w:r>
      <w:proofErr w:type="spellStart"/>
      <w:r>
        <w:t>aggregates</w:t>
      </w:r>
      <w:proofErr w:type="spellEnd"/>
      <w:r>
        <w:t xml:space="preserve"> per </w:t>
      </w:r>
      <w:proofErr w:type="spellStart"/>
      <w:r>
        <w:t>capita</w:t>
      </w:r>
      <w:proofErr w:type="spellEnd"/>
      <w:r>
        <w:t>.</w:t>
      </w:r>
    </w:p>
  </w:footnote>
  <w:footnote w:id="12">
    <w:p w14:paraId="198AE6EB" w14:textId="6A0CA7DE" w:rsidR="005F376C" w:rsidRDefault="005F376C">
      <w:pPr>
        <w:pStyle w:val="Textpoznpodarou"/>
      </w:pPr>
      <w:r>
        <w:rPr>
          <w:rStyle w:val="Znakapoznpodarou"/>
        </w:rPr>
        <w:footnoteRef/>
      </w:r>
      <w:r>
        <w:t xml:space="preserve"> </w:t>
      </w:r>
      <w:r w:rsidRPr="00027B89">
        <w:t>Hodnotenie OECD umiestnilo Slovensko s </w:t>
      </w:r>
      <w:proofErr w:type="spellStart"/>
      <w:r w:rsidRPr="00027B89">
        <w:t>Gini</w:t>
      </w:r>
      <w:proofErr w:type="spellEnd"/>
      <w:r w:rsidRPr="00027B89">
        <w:t xml:space="preserve"> koeficientom 0,269 na 8. miesto v rebríčku 35 hodnotených vyspelý</w:t>
      </w:r>
      <w:r w:rsidRPr="007160B3">
        <w:t xml:space="preserve">ch krajín. Najvyššiu hodnotu </w:t>
      </w:r>
      <w:proofErr w:type="spellStart"/>
      <w:r w:rsidRPr="007160B3">
        <w:t>Gini</w:t>
      </w:r>
      <w:proofErr w:type="spellEnd"/>
      <w:r w:rsidRPr="007160B3">
        <w:t xml:space="preserve"> koeficienta malo Chile (0,465), najnižšiu Island (0,244), priemer OECD činil 0,318.</w:t>
      </w:r>
      <w:r>
        <w:t xml:space="preserve"> Zdroj: OECD (2016): </w:t>
      </w:r>
      <w:proofErr w:type="spellStart"/>
      <w:r w:rsidRPr="002514A6">
        <w:rPr>
          <w:i/>
        </w:rPr>
        <w:t>Income</w:t>
      </w:r>
      <w:proofErr w:type="spellEnd"/>
      <w:r w:rsidRPr="002514A6">
        <w:rPr>
          <w:i/>
        </w:rPr>
        <w:t xml:space="preserve"> </w:t>
      </w:r>
      <w:proofErr w:type="spellStart"/>
      <w:r w:rsidRPr="002514A6">
        <w:rPr>
          <w:i/>
        </w:rPr>
        <w:t>inequality</w:t>
      </w:r>
      <w:proofErr w:type="spellEnd"/>
      <w:r w:rsidRPr="002514A6">
        <w:rPr>
          <w:i/>
        </w:rPr>
        <w:t xml:space="preserve"> </w:t>
      </w:r>
      <w:proofErr w:type="spellStart"/>
      <w:r w:rsidRPr="002514A6">
        <w:rPr>
          <w:i/>
        </w:rPr>
        <w:t>remains</w:t>
      </w:r>
      <w:proofErr w:type="spellEnd"/>
      <w:r w:rsidRPr="002514A6">
        <w:rPr>
          <w:i/>
        </w:rPr>
        <w:t xml:space="preserve"> </w:t>
      </w:r>
      <w:proofErr w:type="spellStart"/>
      <w:r w:rsidRPr="002514A6">
        <w:rPr>
          <w:i/>
        </w:rPr>
        <w:t>high</w:t>
      </w:r>
      <w:proofErr w:type="spellEnd"/>
      <w:r w:rsidRPr="002514A6">
        <w:rPr>
          <w:i/>
        </w:rPr>
        <w:t xml:space="preserve"> in </w:t>
      </w:r>
      <w:proofErr w:type="spellStart"/>
      <w:r w:rsidRPr="002514A6">
        <w:rPr>
          <w:i/>
        </w:rPr>
        <w:t>the</w:t>
      </w:r>
      <w:proofErr w:type="spellEnd"/>
      <w:r w:rsidRPr="002514A6">
        <w:rPr>
          <w:i/>
        </w:rPr>
        <w:t xml:space="preserve"> </w:t>
      </w:r>
      <w:proofErr w:type="spellStart"/>
      <w:r w:rsidRPr="002514A6">
        <w:rPr>
          <w:i/>
        </w:rPr>
        <w:t>face</w:t>
      </w:r>
      <w:proofErr w:type="spellEnd"/>
      <w:r w:rsidRPr="002514A6">
        <w:rPr>
          <w:i/>
        </w:rPr>
        <w:t xml:space="preserve"> of </w:t>
      </w:r>
      <w:proofErr w:type="spellStart"/>
      <w:r w:rsidRPr="002514A6">
        <w:rPr>
          <w:i/>
        </w:rPr>
        <w:t>weak</w:t>
      </w:r>
      <w:proofErr w:type="spellEnd"/>
      <w:r w:rsidRPr="002514A6">
        <w:rPr>
          <w:i/>
        </w:rPr>
        <w:t xml:space="preserve"> </w:t>
      </w:r>
      <w:proofErr w:type="spellStart"/>
      <w:r w:rsidRPr="002514A6">
        <w:rPr>
          <w:i/>
        </w:rPr>
        <w:t>recovery</w:t>
      </w:r>
      <w:proofErr w:type="spellEnd"/>
      <w:r>
        <w:t xml:space="preserve">. OECD: </w:t>
      </w:r>
      <w:proofErr w:type="spellStart"/>
      <w:r>
        <w:t>Paris</w:t>
      </w:r>
      <w:proofErr w:type="spellEnd"/>
      <w:r>
        <w:t>.</w:t>
      </w:r>
    </w:p>
  </w:footnote>
  <w:footnote w:id="13">
    <w:p w14:paraId="1D65AA6F" w14:textId="3D3C908A" w:rsidR="005F376C" w:rsidRDefault="005F376C" w:rsidP="00332AC6">
      <w:pPr>
        <w:pStyle w:val="Textpoznpodarou"/>
      </w:pPr>
      <w:r>
        <w:rPr>
          <w:rStyle w:val="Znakapoznpodarou"/>
        </w:rPr>
        <w:footnoteRef/>
      </w:r>
      <w:r>
        <w:t xml:space="preserve"> V súčasnosti priemerný dôchodok nahrádza v SR cca 46 % priemernej hrubej mzdy. Pri pokračovaní demografického vývoja by pri zachovaní ostatných parametrov dôchodkového systému činila v roku 2030 náhrada mzdy dôchodkom  36,7 % a v roku 2060 už len 33,3 %. Zdroj:</w:t>
      </w:r>
      <w:r w:rsidRPr="001060F9">
        <w:t xml:space="preserve"> </w:t>
      </w:r>
      <w:proofErr w:type="spellStart"/>
      <w:r w:rsidRPr="001060F9">
        <w:t>European</w:t>
      </w:r>
      <w:proofErr w:type="spellEnd"/>
      <w:r w:rsidRPr="001060F9">
        <w:t xml:space="preserve"> </w:t>
      </w:r>
      <w:proofErr w:type="spellStart"/>
      <w:r w:rsidRPr="001060F9">
        <w:t>Commission</w:t>
      </w:r>
      <w:proofErr w:type="spellEnd"/>
      <w:r w:rsidRPr="001060F9">
        <w:t xml:space="preserve"> (2015): </w:t>
      </w:r>
      <w:proofErr w:type="spellStart"/>
      <w:r w:rsidRPr="008D16B7">
        <w:rPr>
          <w:i/>
        </w:rPr>
        <w:t>The</w:t>
      </w:r>
      <w:proofErr w:type="spellEnd"/>
      <w:r w:rsidRPr="008D16B7">
        <w:rPr>
          <w:i/>
        </w:rPr>
        <w:t xml:space="preserve"> 2015 </w:t>
      </w:r>
      <w:proofErr w:type="spellStart"/>
      <w:r w:rsidRPr="008D16B7">
        <w:rPr>
          <w:i/>
        </w:rPr>
        <w:t>Ageing</w:t>
      </w:r>
      <w:proofErr w:type="spellEnd"/>
      <w:r w:rsidRPr="008D16B7">
        <w:rPr>
          <w:i/>
        </w:rPr>
        <w:t xml:space="preserve"> Report</w:t>
      </w:r>
      <w:r w:rsidRPr="001060F9">
        <w:t xml:space="preserve">. </w:t>
      </w:r>
      <w:proofErr w:type="spellStart"/>
      <w:r w:rsidRPr="001060F9">
        <w:t>European</w:t>
      </w:r>
      <w:proofErr w:type="spellEnd"/>
      <w:r w:rsidRPr="001060F9">
        <w:t xml:space="preserve"> </w:t>
      </w:r>
      <w:proofErr w:type="spellStart"/>
      <w:r w:rsidRPr="001060F9">
        <w:t>Economy</w:t>
      </w:r>
      <w:proofErr w:type="spellEnd"/>
      <w:r w:rsidRPr="001060F9">
        <w:t xml:space="preserve"> 3|2015</w:t>
      </w:r>
      <w:r>
        <w:t>.</w:t>
      </w:r>
    </w:p>
  </w:footnote>
  <w:footnote w:id="14">
    <w:p w14:paraId="2DEC8552" w14:textId="7947B2B0" w:rsidR="005F376C" w:rsidRDefault="005F376C" w:rsidP="00332AC6">
      <w:pPr>
        <w:pStyle w:val="Textpoznpodarou"/>
      </w:pPr>
      <w:r>
        <w:rPr>
          <w:rStyle w:val="Znakapoznpodarou"/>
        </w:rPr>
        <w:footnoteRef/>
      </w:r>
      <w:r>
        <w:t xml:space="preserve"> </w:t>
      </w:r>
      <w:proofErr w:type="spellStart"/>
      <w:r>
        <w:t>European</w:t>
      </w:r>
      <w:proofErr w:type="spellEnd"/>
      <w:r>
        <w:t xml:space="preserve"> </w:t>
      </w:r>
      <w:proofErr w:type="spellStart"/>
      <w:r>
        <w:t>Commission</w:t>
      </w:r>
      <w:proofErr w:type="spellEnd"/>
      <w:r>
        <w:t xml:space="preserve"> (2015): </w:t>
      </w:r>
      <w:proofErr w:type="spellStart"/>
      <w:r w:rsidRPr="00791E3B">
        <w:rPr>
          <w:i/>
        </w:rPr>
        <w:t>The</w:t>
      </w:r>
      <w:proofErr w:type="spellEnd"/>
      <w:r w:rsidRPr="00791E3B">
        <w:rPr>
          <w:i/>
        </w:rPr>
        <w:t xml:space="preserve"> 2015 </w:t>
      </w:r>
      <w:proofErr w:type="spellStart"/>
      <w:r w:rsidRPr="00791E3B">
        <w:rPr>
          <w:i/>
        </w:rPr>
        <w:t>Ageing</w:t>
      </w:r>
      <w:proofErr w:type="spellEnd"/>
      <w:r w:rsidRPr="00791E3B">
        <w:rPr>
          <w:i/>
        </w:rPr>
        <w:t xml:space="preserve"> Report</w:t>
      </w:r>
      <w:r>
        <w:t xml:space="preserve">. </w:t>
      </w:r>
      <w:proofErr w:type="spellStart"/>
      <w:r>
        <w:t>European</w:t>
      </w:r>
      <w:proofErr w:type="spellEnd"/>
      <w:r>
        <w:t xml:space="preserve"> </w:t>
      </w:r>
      <w:proofErr w:type="spellStart"/>
      <w:r>
        <w:t>Economy</w:t>
      </w:r>
      <w:proofErr w:type="spellEnd"/>
      <w:r>
        <w:t xml:space="preserve"> 3|2015. Poznámka: v dôsledku poklesu počtu ekonomicky aktívnej populácie bude odhadovaný priemerný ročný rast HDP SR (1,5 %) nižší, ako priemerný ročný rast na 1 obyvateľa (1,9 %).</w:t>
      </w:r>
    </w:p>
  </w:footnote>
  <w:footnote w:id="15">
    <w:p w14:paraId="2887F915" w14:textId="698056C1" w:rsidR="005F376C" w:rsidRDefault="005F376C" w:rsidP="007D6262">
      <w:pPr>
        <w:pStyle w:val="Textpoznpodarou"/>
      </w:pPr>
      <w:r>
        <w:rPr>
          <w:rStyle w:val="Znakapoznpodarou"/>
        </w:rPr>
        <w:footnoteRef/>
      </w:r>
      <w:r>
        <w:t xml:space="preserve"> S hrubým národným dôchodkom 29 </w:t>
      </w:r>
      <w:r w:rsidRPr="002972E1">
        <w:t>440</w:t>
      </w:r>
      <w:r>
        <w:t xml:space="preserve"> USD na obyvateľa (v parite kúpnej sily) bolo v roku 2015 Slovensko 39. najbohatšou ekonomikou sveta zo 178 hodnotených ekonomík. Zdroj: World Bank (2017): </w:t>
      </w:r>
      <w:r w:rsidRPr="002972E1">
        <w:t xml:space="preserve">Country and </w:t>
      </w:r>
      <w:proofErr w:type="spellStart"/>
      <w:r w:rsidRPr="002972E1">
        <w:t>Lending</w:t>
      </w:r>
      <w:proofErr w:type="spellEnd"/>
      <w:r w:rsidRPr="002972E1">
        <w:t xml:space="preserve"> </w:t>
      </w:r>
      <w:proofErr w:type="spellStart"/>
      <w:r w:rsidRPr="002972E1">
        <w:t>Groups</w:t>
      </w:r>
      <w:proofErr w:type="spellEnd"/>
    </w:p>
  </w:footnote>
  <w:footnote w:id="16">
    <w:p w14:paraId="77C1FF75" w14:textId="0A88D9FB" w:rsidR="005F376C" w:rsidRDefault="005F376C" w:rsidP="00027B89">
      <w:pPr>
        <w:pStyle w:val="Textpoznpodarou"/>
      </w:pPr>
      <w:r>
        <w:rPr>
          <w:rStyle w:val="Znakapoznpodarou"/>
        </w:rPr>
        <w:footnoteRef/>
      </w:r>
      <w:r>
        <w:t xml:space="preserve"> </w:t>
      </w:r>
      <w:r w:rsidRPr="003B366E">
        <w:t>Konkurenčnú výhodu Slovenska v rámci Európskej úni</w:t>
      </w:r>
      <w:r>
        <w:t>e</w:t>
      </w:r>
      <w:r w:rsidRPr="003B366E">
        <w:t xml:space="preserve"> možno charakterizovať indexmi exportnej špecializácie. </w:t>
      </w:r>
      <w:proofErr w:type="spellStart"/>
      <w:r w:rsidRPr="003B366E">
        <w:t>Balassov</w:t>
      </w:r>
      <w:proofErr w:type="spellEnd"/>
      <w:r w:rsidRPr="003B366E">
        <w:t xml:space="preserve"> index odhalenej komparatívnej výhody (</w:t>
      </w:r>
      <w:proofErr w:type="spellStart"/>
      <w:r w:rsidRPr="003B366E">
        <w:t>revealed</w:t>
      </w:r>
      <w:proofErr w:type="spellEnd"/>
      <w:r w:rsidRPr="003B366E">
        <w:t xml:space="preserve"> </w:t>
      </w:r>
      <w:proofErr w:type="spellStart"/>
      <w:r w:rsidRPr="003B366E">
        <w:t>comparative</w:t>
      </w:r>
      <w:proofErr w:type="spellEnd"/>
      <w:r w:rsidRPr="003B366E">
        <w:t xml:space="preserve"> </w:t>
      </w:r>
      <w:proofErr w:type="spellStart"/>
      <w:r w:rsidRPr="003B366E">
        <w:t>advantage</w:t>
      </w:r>
      <w:proofErr w:type="spellEnd"/>
      <w:r w:rsidRPr="003B366E">
        <w:t>, RCA) indikuje, že v porovnaní s EÚ28 sa väčšina výhod SR sústreďuje najmä do exportov automobilov (RCA = 3,34), spotrebnej elektroniky (RCA = 19,07) a elektrických strojov a prístrojov okrem spotrebnej elektroniky (RCA = 1,91). Koeficient vyšší ako 1 indikuje konkurenčnú výhodu.</w:t>
      </w:r>
      <w:r>
        <w:t xml:space="preserve"> Zdroj: výpočty autorov na základe údajov </w:t>
      </w:r>
      <w:proofErr w:type="spellStart"/>
      <w:r>
        <w:t>Eurostatu</w:t>
      </w:r>
      <w:proofErr w:type="spellEnd"/>
      <w:r>
        <w:t xml:space="preserve"> o exportoch tovarov.</w:t>
      </w:r>
    </w:p>
  </w:footnote>
  <w:footnote w:id="17">
    <w:p w14:paraId="17179EB4" w14:textId="289A807D" w:rsidR="005F376C" w:rsidRDefault="005F376C">
      <w:pPr>
        <w:pStyle w:val="Textpoznpodarou"/>
      </w:pPr>
      <w:r>
        <w:rPr>
          <w:rStyle w:val="Znakapoznpodarou"/>
        </w:rPr>
        <w:footnoteRef/>
      </w:r>
      <w:r>
        <w:t xml:space="preserve"> World Bank (2017): </w:t>
      </w:r>
      <w:hyperlink r:id="rId5" w:history="1">
        <w:r w:rsidRPr="006724CA">
          <w:rPr>
            <w:rStyle w:val="Hypertextovodkaz"/>
          </w:rPr>
          <w:t>Doing Business: Slovakia</w:t>
        </w:r>
      </w:hyperlink>
      <w:r>
        <w:t>.</w:t>
      </w:r>
    </w:p>
  </w:footnote>
  <w:footnote w:id="18">
    <w:p w14:paraId="7C71C849" w14:textId="6EA42C3E" w:rsidR="005F376C" w:rsidRDefault="005F376C" w:rsidP="00B812B4">
      <w:pPr>
        <w:pStyle w:val="Textpoznpodarou"/>
      </w:pPr>
      <w:r>
        <w:rPr>
          <w:rStyle w:val="Znakapoznpodarou"/>
        </w:rPr>
        <w:footnoteRef/>
      </w:r>
      <w:r>
        <w:t xml:space="preserve"> </w:t>
      </w:r>
      <w:proofErr w:type="spellStart"/>
      <w:r>
        <w:t>World</w:t>
      </w:r>
      <w:proofErr w:type="spellEnd"/>
      <w:r>
        <w:t xml:space="preserve"> </w:t>
      </w:r>
      <w:proofErr w:type="spellStart"/>
      <w:r>
        <w:t>Economic</w:t>
      </w:r>
      <w:proofErr w:type="spellEnd"/>
      <w:r>
        <w:t xml:space="preserve"> </w:t>
      </w:r>
      <w:proofErr w:type="spellStart"/>
      <w:r>
        <w:t>Forum</w:t>
      </w:r>
      <w:proofErr w:type="spellEnd"/>
      <w:r>
        <w:t xml:space="preserve"> (2017): </w:t>
      </w:r>
      <w:proofErr w:type="spellStart"/>
      <w:r>
        <w:t>The</w:t>
      </w:r>
      <w:proofErr w:type="spellEnd"/>
      <w:r>
        <w:t xml:space="preserve"> </w:t>
      </w:r>
      <w:proofErr w:type="spellStart"/>
      <w:r>
        <w:t>Global</w:t>
      </w:r>
      <w:proofErr w:type="spellEnd"/>
      <w:r>
        <w:t xml:space="preserve"> </w:t>
      </w:r>
      <w:proofErr w:type="spellStart"/>
      <w:r>
        <w:t>Competitiveness</w:t>
      </w:r>
      <w:proofErr w:type="spellEnd"/>
      <w:r>
        <w:t xml:space="preserve"> Report 2017–2018. WEF: </w:t>
      </w:r>
      <w:proofErr w:type="spellStart"/>
      <w:r>
        <w:t>Geneva</w:t>
      </w:r>
      <w:proofErr w:type="spellEnd"/>
      <w:r>
        <w:t>.</w:t>
      </w:r>
    </w:p>
  </w:footnote>
  <w:footnote w:id="19">
    <w:p w14:paraId="21093419" w14:textId="77777777" w:rsidR="005F376C" w:rsidRDefault="005F376C" w:rsidP="00C24E6D">
      <w:pPr>
        <w:pStyle w:val="Textpoznpodarou"/>
      </w:pPr>
      <w:r>
        <w:rPr>
          <w:rStyle w:val="Znakapoznpodarou"/>
        </w:rPr>
        <w:footnoteRef/>
      </w:r>
      <w:r>
        <w:t xml:space="preserve"> OECD: </w:t>
      </w:r>
      <w:proofErr w:type="spellStart"/>
      <w:r>
        <w:t>Trends</w:t>
      </w:r>
      <w:proofErr w:type="spellEnd"/>
      <w:r>
        <w:t xml:space="preserve"> </w:t>
      </w:r>
      <w:proofErr w:type="spellStart"/>
      <w:r>
        <w:t>Shaping</w:t>
      </w:r>
      <w:proofErr w:type="spellEnd"/>
      <w:r>
        <w:t xml:space="preserve"> </w:t>
      </w:r>
      <w:proofErr w:type="spellStart"/>
      <w:r>
        <w:t>Education</w:t>
      </w:r>
      <w:proofErr w:type="spellEnd"/>
      <w:r>
        <w:t xml:space="preserve">; Centre </w:t>
      </w:r>
      <w:proofErr w:type="spellStart"/>
      <w:r>
        <w:t>for</w:t>
      </w:r>
      <w:proofErr w:type="spellEnd"/>
      <w:r>
        <w:t xml:space="preserve"> </w:t>
      </w:r>
      <w:proofErr w:type="spellStart"/>
      <w:r>
        <w:t>Educational</w:t>
      </w:r>
      <w:proofErr w:type="spellEnd"/>
      <w:r>
        <w:t xml:space="preserve"> </w:t>
      </w:r>
      <w:proofErr w:type="spellStart"/>
      <w:r>
        <w:t>Research</w:t>
      </w:r>
      <w:proofErr w:type="spellEnd"/>
      <w:r>
        <w:t xml:space="preserve"> and </w:t>
      </w:r>
      <w:proofErr w:type="spellStart"/>
      <w:r>
        <w:t>Innovation</w:t>
      </w:r>
      <w:proofErr w:type="spellEnd"/>
      <w:r>
        <w:t>, OECD, Paríž, 2016</w:t>
      </w:r>
    </w:p>
  </w:footnote>
  <w:footnote w:id="20">
    <w:p w14:paraId="79205C66" w14:textId="77777777" w:rsidR="005F376C" w:rsidRDefault="005F376C" w:rsidP="00C24E6D">
      <w:pPr>
        <w:pStyle w:val="Textpoznpodarou"/>
      </w:pPr>
      <w:r>
        <w:rPr>
          <w:rStyle w:val="Znakapoznpodarou"/>
        </w:rPr>
        <w:footnoteRef/>
      </w:r>
      <w:r>
        <w:t xml:space="preserve"> </w:t>
      </w:r>
      <w:proofErr w:type="spellStart"/>
      <w:r>
        <w:t>Ibid</w:t>
      </w:r>
      <w:proofErr w:type="spellEnd"/>
      <w:r>
        <w:t>.</w:t>
      </w:r>
    </w:p>
  </w:footnote>
  <w:footnote w:id="21">
    <w:p w14:paraId="6985B388" w14:textId="77777777" w:rsidR="005F376C" w:rsidRDefault="005F376C" w:rsidP="00C24E6D">
      <w:pPr>
        <w:pStyle w:val="Textpoznpodarou"/>
      </w:pPr>
      <w:r>
        <w:rPr>
          <w:rStyle w:val="Znakapoznpodarou"/>
        </w:rPr>
        <w:footnoteRef/>
      </w:r>
      <w:r>
        <w:t xml:space="preserve"> </w:t>
      </w:r>
      <w:bookmarkStart w:id="12" w:name="_Hlk499238218"/>
      <w:r>
        <w:t>Centrum spoločenských a psychologických vied SAV: Globálne megatrendy, Hodnotenie a výzvy z pohľadu Slovenskej republiky, SAV, Bratislava, 2016</w:t>
      </w:r>
      <w:bookmarkEnd w:id="12"/>
    </w:p>
  </w:footnote>
  <w:footnote w:id="22">
    <w:p w14:paraId="4945599F" w14:textId="77777777" w:rsidR="005F376C" w:rsidRDefault="005F376C" w:rsidP="00C24E6D">
      <w:pPr>
        <w:pStyle w:val="Textpoznpodarou"/>
      </w:pPr>
      <w:r>
        <w:rPr>
          <w:rStyle w:val="Znakapoznpodarou"/>
        </w:rPr>
        <w:footnoteRef/>
      </w:r>
      <w:r>
        <w:t xml:space="preserve"> OECD: </w:t>
      </w:r>
      <w:proofErr w:type="spellStart"/>
      <w:r>
        <w:t>Employment</w:t>
      </w:r>
      <w:proofErr w:type="spellEnd"/>
      <w:r>
        <w:t xml:space="preserve"> Outlook, OECD, Paríž, 2017</w:t>
      </w:r>
    </w:p>
  </w:footnote>
  <w:footnote w:id="23">
    <w:p w14:paraId="048C1436" w14:textId="77777777" w:rsidR="005F376C" w:rsidRDefault="005F376C" w:rsidP="00C24E6D">
      <w:pPr>
        <w:pStyle w:val="Textpoznpodarou"/>
      </w:pPr>
      <w:r>
        <w:rPr>
          <w:rStyle w:val="Znakapoznpodarou"/>
        </w:rPr>
        <w:footnoteRef/>
      </w:r>
      <w:r>
        <w:t xml:space="preserve"> OECD: </w:t>
      </w:r>
      <w:proofErr w:type="spellStart"/>
      <w:r>
        <w:t>Automatisation</w:t>
      </w:r>
      <w:proofErr w:type="spellEnd"/>
      <w:r>
        <w:t xml:space="preserve"> and </w:t>
      </w:r>
      <w:proofErr w:type="spellStart"/>
      <w:r>
        <w:t>Independent</w:t>
      </w:r>
      <w:proofErr w:type="spellEnd"/>
      <w:r>
        <w:t xml:space="preserve"> </w:t>
      </w:r>
      <w:proofErr w:type="spellStart"/>
      <w:r>
        <w:t>Work</w:t>
      </w:r>
      <w:proofErr w:type="spellEnd"/>
      <w:r>
        <w:t xml:space="preserve"> in </w:t>
      </w:r>
      <w:proofErr w:type="spellStart"/>
      <w:r>
        <w:t>the</w:t>
      </w:r>
      <w:proofErr w:type="spellEnd"/>
      <w:r>
        <w:t xml:space="preserve"> </w:t>
      </w:r>
      <w:proofErr w:type="spellStart"/>
      <w:r>
        <w:t>Digital</w:t>
      </w:r>
      <w:proofErr w:type="spellEnd"/>
      <w:r>
        <w:t xml:space="preserve"> </w:t>
      </w:r>
      <w:proofErr w:type="spellStart"/>
      <w:r>
        <w:t>Economy</w:t>
      </w:r>
      <w:proofErr w:type="spellEnd"/>
      <w:r>
        <w:t xml:space="preserve">, OECD, Paríž, 2016 </w:t>
      </w:r>
    </w:p>
  </w:footnote>
  <w:footnote w:id="24">
    <w:p w14:paraId="0CF0213B" w14:textId="77777777" w:rsidR="005F376C" w:rsidRDefault="005F376C" w:rsidP="00C24E6D">
      <w:pPr>
        <w:pStyle w:val="Textpoznpodarou"/>
      </w:pPr>
      <w:r>
        <w:rPr>
          <w:rStyle w:val="Znakapoznpodarou"/>
        </w:rPr>
        <w:footnoteRef/>
      </w:r>
      <w:r>
        <w:t xml:space="preserve"> OECD: </w:t>
      </w:r>
      <w:proofErr w:type="spellStart"/>
      <w:r>
        <w:t>Trends</w:t>
      </w:r>
      <w:proofErr w:type="spellEnd"/>
      <w:r>
        <w:t xml:space="preserve"> </w:t>
      </w:r>
      <w:proofErr w:type="spellStart"/>
      <w:r>
        <w:t>Shaping</w:t>
      </w:r>
      <w:proofErr w:type="spellEnd"/>
      <w:r>
        <w:t xml:space="preserve"> </w:t>
      </w:r>
      <w:proofErr w:type="spellStart"/>
      <w:r>
        <w:t>Education</w:t>
      </w:r>
      <w:proofErr w:type="spellEnd"/>
      <w:r>
        <w:t xml:space="preserve">; Centre </w:t>
      </w:r>
      <w:proofErr w:type="spellStart"/>
      <w:r>
        <w:t>for</w:t>
      </w:r>
      <w:proofErr w:type="spellEnd"/>
      <w:r>
        <w:t xml:space="preserve"> </w:t>
      </w:r>
      <w:proofErr w:type="spellStart"/>
      <w:r>
        <w:t>Educational</w:t>
      </w:r>
      <w:proofErr w:type="spellEnd"/>
      <w:r>
        <w:t xml:space="preserve"> </w:t>
      </w:r>
      <w:proofErr w:type="spellStart"/>
      <w:r>
        <w:t>Research</w:t>
      </w:r>
      <w:proofErr w:type="spellEnd"/>
      <w:r>
        <w:t xml:space="preserve"> and </w:t>
      </w:r>
      <w:proofErr w:type="spellStart"/>
      <w:r>
        <w:t>Innovation</w:t>
      </w:r>
      <w:proofErr w:type="spellEnd"/>
      <w:r>
        <w:t>, OECD, Paríž, 2016</w:t>
      </w:r>
    </w:p>
  </w:footnote>
  <w:footnote w:id="25">
    <w:p w14:paraId="73377E17" w14:textId="77777777" w:rsidR="005F376C" w:rsidRDefault="005F376C" w:rsidP="00C24E6D">
      <w:pPr>
        <w:pStyle w:val="Textpoznpodarou"/>
      </w:pPr>
      <w:r>
        <w:rPr>
          <w:rStyle w:val="Znakapoznpodarou"/>
        </w:rPr>
        <w:footnoteRef/>
      </w:r>
      <w:r>
        <w:t xml:space="preserve"> OECD: </w:t>
      </w:r>
      <w:proofErr w:type="spellStart"/>
      <w:r>
        <w:t>Education</w:t>
      </w:r>
      <w:proofErr w:type="spellEnd"/>
      <w:r>
        <w:t xml:space="preserve"> at </w:t>
      </w:r>
      <w:proofErr w:type="spellStart"/>
      <w:r>
        <w:t>Glance</w:t>
      </w:r>
      <w:proofErr w:type="spellEnd"/>
      <w:r>
        <w:t>, OECD, Paríž, 2017</w:t>
      </w:r>
    </w:p>
  </w:footnote>
  <w:footnote w:id="26">
    <w:p w14:paraId="1D8961B4" w14:textId="77777777" w:rsidR="005F376C" w:rsidRPr="00CF6971" w:rsidRDefault="005F376C" w:rsidP="00085B2C">
      <w:pPr>
        <w:autoSpaceDE w:val="0"/>
        <w:autoSpaceDN w:val="0"/>
        <w:adjustRightInd w:val="0"/>
        <w:spacing w:after="0"/>
        <w:jc w:val="left"/>
        <w:rPr>
          <w:sz w:val="20"/>
          <w:szCs w:val="20"/>
        </w:rPr>
      </w:pPr>
      <w:r>
        <w:rPr>
          <w:rStyle w:val="Znakapoznpodarou"/>
        </w:rPr>
        <w:footnoteRef/>
      </w:r>
      <w:r>
        <w:t xml:space="preserve"> </w:t>
      </w:r>
      <w:r w:rsidRPr="00CF6971">
        <w:rPr>
          <w:sz w:val="20"/>
          <w:szCs w:val="20"/>
        </w:rPr>
        <w:t>Podľa údajov EUROSTAT, miera predčasne ukončenej školskej dochádzky vo</w:t>
      </w:r>
      <w:r>
        <w:rPr>
          <w:sz w:val="20"/>
          <w:szCs w:val="20"/>
        </w:rPr>
        <w:t xml:space="preserve"> vekovej </w:t>
      </w:r>
      <w:r w:rsidRPr="00CF6971">
        <w:rPr>
          <w:sz w:val="20"/>
          <w:szCs w:val="20"/>
        </w:rPr>
        <w:t xml:space="preserve">skupine 18 - 24 rokov </w:t>
      </w:r>
      <w:r>
        <w:rPr>
          <w:sz w:val="20"/>
          <w:szCs w:val="20"/>
        </w:rPr>
        <w:t xml:space="preserve">v roku 2015 na úrovni EÚ dosiahla 10,1 </w:t>
      </w:r>
      <w:r w:rsidRPr="00E25759">
        <w:rPr>
          <w:sz w:val="20"/>
          <w:szCs w:val="20"/>
        </w:rPr>
        <w:t>%</w:t>
      </w:r>
      <w:r>
        <w:rPr>
          <w:sz w:val="20"/>
          <w:szCs w:val="20"/>
        </w:rPr>
        <w:t>, zatiaľ čo v SR dosiahla úroveň 6,9</w:t>
      </w:r>
      <w:r w:rsidRPr="00E25759">
        <w:rPr>
          <w:sz w:val="20"/>
          <w:szCs w:val="20"/>
        </w:rPr>
        <w:t xml:space="preserve">%. </w:t>
      </w:r>
    </w:p>
  </w:footnote>
  <w:footnote w:id="27">
    <w:p w14:paraId="3A75FBB3" w14:textId="77777777" w:rsidR="005F376C" w:rsidRDefault="005F376C" w:rsidP="00085B2C">
      <w:pPr>
        <w:pStyle w:val="Textpoznpodarou"/>
      </w:pPr>
      <w:r w:rsidRPr="00CF6971">
        <w:footnoteRef/>
      </w:r>
      <w:r>
        <w:t xml:space="preserve"> Podľa údajov EUROSTAT, v období rokov 2010-2015 miera predčasného ukončenia školskej dochádzky u tejto skupiny narástla o 2.2 p.b. zatiaľ, čo vo väčšine krajín EÚ je klesajúci trend</w:t>
      </w:r>
    </w:p>
  </w:footnote>
  <w:footnote w:id="28">
    <w:p w14:paraId="5B45DC8A" w14:textId="77777777" w:rsidR="005F376C" w:rsidRDefault="005F376C" w:rsidP="00085B2C">
      <w:pPr>
        <w:pStyle w:val="Textpoznpodarou"/>
      </w:pPr>
      <w:r>
        <w:rPr>
          <w:rStyle w:val="Znakapoznpodarou"/>
        </w:rPr>
        <w:footnoteRef/>
      </w:r>
      <w:r>
        <w:t xml:space="preserve"> Podľa údajov EUROSTAT, v období rokov 2005 a 2015 veľkosť populácie s ukončeným vzdelaním na úrovni ISCED 1 a ISCED 2 klesol o 3,8 p.b. </w:t>
      </w:r>
    </w:p>
  </w:footnote>
  <w:footnote w:id="29">
    <w:p w14:paraId="222A8429" w14:textId="77777777" w:rsidR="005F376C" w:rsidRPr="00E55711" w:rsidRDefault="005F376C" w:rsidP="00085B2C">
      <w:pPr>
        <w:autoSpaceDE w:val="0"/>
        <w:autoSpaceDN w:val="0"/>
        <w:adjustRightInd w:val="0"/>
        <w:spacing w:after="0"/>
        <w:jc w:val="left"/>
        <w:rPr>
          <w:rFonts w:ascii="Calibri" w:eastAsiaTheme="minorHAnsi" w:hAnsi="Calibri" w:cs="Calibri"/>
          <w:bCs w:val="0"/>
          <w:color w:val="auto"/>
          <w:sz w:val="18"/>
          <w:szCs w:val="18"/>
          <w:lang w:eastAsia="en-US"/>
        </w:rPr>
      </w:pPr>
      <w:r>
        <w:rPr>
          <w:rStyle w:val="Znakapoznpodarou"/>
        </w:rPr>
        <w:footnoteRef/>
      </w:r>
      <w:r>
        <w:t xml:space="preserve"> </w:t>
      </w:r>
      <w:r w:rsidRPr="00E55711">
        <w:rPr>
          <w:sz w:val="20"/>
          <w:szCs w:val="20"/>
        </w:rPr>
        <w:t>Len 28,4 % populácie Slovenskej republiky vo veku 30 - 34 rokov má ukončené ter</w:t>
      </w:r>
      <w:r>
        <w:rPr>
          <w:sz w:val="20"/>
          <w:szCs w:val="20"/>
        </w:rPr>
        <w:t>ciárne vzdelanie, čo je o 10,3 p.b.</w:t>
      </w:r>
      <w:r w:rsidRPr="00E55711">
        <w:rPr>
          <w:sz w:val="20"/>
          <w:szCs w:val="20"/>
        </w:rPr>
        <w:t xml:space="preserve"> menej ako je priemer EÚ (in Štatistický úrad SR, 2017)</w:t>
      </w:r>
    </w:p>
  </w:footnote>
  <w:footnote w:id="30">
    <w:p w14:paraId="541CCD32" w14:textId="77777777" w:rsidR="005F376C" w:rsidRPr="00F82B78" w:rsidRDefault="005F376C" w:rsidP="00085B2C">
      <w:pPr>
        <w:pStyle w:val="Textpoznpodarou"/>
      </w:pPr>
      <w:r>
        <w:rPr>
          <w:rStyle w:val="Znakapoznpodarou"/>
        </w:rPr>
        <w:footnoteRef/>
      </w:r>
      <w:r>
        <w:t xml:space="preserve"> </w:t>
      </w:r>
      <w:bookmarkStart w:id="14" w:name="_Hlk499238990"/>
      <w:r w:rsidRPr="00F82B78">
        <w:t>Štatistický úrad SR: Slovenská republika a ciele udržateľného rozvoja Agendy 2030, ŠÚ SR, Bratislava, 2017</w:t>
      </w:r>
      <w:bookmarkEnd w:id="14"/>
    </w:p>
  </w:footnote>
  <w:footnote w:id="31">
    <w:p w14:paraId="6FF8C8C2" w14:textId="550A879E" w:rsidR="005F376C" w:rsidRPr="00F82B78" w:rsidRDefault="005F376C" w:rsidP="00E83DA3">
      <w:pPr>
        <w:pStyle w:val="Textpoznpodarou"/>
      </w:pPr>
      <w:r w:rsidRPr="00F82B78">
        <w:rPr>
          <w:rStyle w:val="Znakapoznpodarou"/>
        </w:rPr>
        <w:footnoteRef/>
      </w:r>
      <w:r w:rsidRPr="00F82B78">
        <w:t xml:space="preserve"> Zatiaľ čo v krajinách OECD percento účastníkov vo veku nad 20 rokov na programoch obdobného vzdelávania a prípravy predstavuje 46</w:t>
      </w:r>
      <w:r>
        <w:t xml:space="preserve"> </w:t>
      </w:r>
      <w:r w:rsidRPr="00F82B78">
        <w:t>%, na Slovensku je to len 13</w:t>
      </w:r>
      <w:r>
        <w:t xml:space="preserve"> </w:t>
      </w:r>
      <w:r w:rsidRPr="00F82B78">
        <w:t>% (in: O</w:t>
      </w:r>
      <w:r>
        <w:t>E</w:t>
      </w:r>
      <w:r w:rsidRPr="00F82B78">
        <w:t xml:space="preserve">CD, </w:t>
      </w:r>
      <w:proofErr w:type="spellStart"/>
      <w:r w:rsidRPr="00F82B78">
        <w:t>Education</w:t>
      </w:r>
      <w:proofErr w:type="spellEnd"/>
      <w:r w:rsidRPr="00F82B78">
        <w:t xml:space="preserve"> at a </w:t>
      </w:r>
      <w:proofErr w:type="spellStart"/>
      <w:r w:rsidRPr="00F82B78">
        <w:t>Glance</w:t>
      </w:r>
      <w:proofErr w:type="spellEnd"/>
      <w:r w:rsidRPr="00F82B78">
        <w:t>, 2017)</w:t>
      </w:r>
    </w:p>
  </w:footnote>
  <w:footnote w:id="32">
    <w:p w14:paraId="363AB343" w14:textId="051B04E2" w:rsidR="005F376C" w:rsidRPr="00E25759" w:rsidRDefault="005F376C" w:rsidP="00085B2C">
      <w:pPr>
        <w:pStyle w:val="Textpoznpodarou"/>
        <w:rPr>
          <w:color w:val="FF0000"/>
        </w:rPr>
      </w:pPr>
      <w:r w:rsidRPr="00F82B78">
        <w:rPr>
          <w:rStyle w:val="Znakapoznpodarou"/>
        </w:rPr>
        <w:footnoteRef/>
      </w:r>
      <w:r w:rsidRPr="00F82B78">
        <w:t xml:space="preserve"> Podľa údajov EUROSTAT, miera zamestnanosti v krajinách EÚ v roku 2016 dosiahla úroveň 66,6%, zatiaľ čo na Slovensku to bolo 64,9</w:t>
      </w:r>
      <w:r>
        <w:t xml:space="preserve"> </w:t>
      </w:r>
      <w:r w:rsidRPr="00E25759">
        <w:t>%.</w:t>
      </w:r>
    </w:p>
  </w:footnote>
  <w:footnote w:id="33">
    <w:p w14:paraId="04FBE3B1" w14:textId="1CF855D4" w:rsidR="005F376C" w:rsidRPr="00F82B78" w:rsidRDefault="005F376C" w:rsidP="00085B2C">
      <w:pPr>
        <w:pStyle w:val="Textpoznpodarou"/>
        <w:rPr>
          <w:color w:val="auto"/>
        </w:rPr>
      </w:pPr>
      <w:r w:rsidRPr="00F82B78">
        <w:rPr>
          <w:rStyle w:val="Znakapoznpodarou"/>
        </w:rPr>
        <w:footnoteRef/>
      </w:r>
      <w:r w:rsidRPr="00F82B78">
        <w:t xml:space="preserve"> Podľa údajov EUROSTAT, miera registrovanej dlhodobej nezamestnanosti má napriek kolísavému vývoju klesajúcu tendenciu. V roku 2007 bola na úrovni 8,3</w:t>
      </w:r>
      <w:r>
        <w:t xml:space="preserve"> </w:t>
      </w:r>
      <w:r w:rsidRPr="00F82B78">
        <w:t>%, v nasledujúcich rokov čiastočne klesla na úroveň 6,5</w:t>
      </w:r>
      <w:r>
        <w:t xml:space="preserve"> </w:t>
      </w:r>
      <w:r w:rsidRPr="00F82B78">
        <w:t xml:space="preserve">%, v </w:t>
      </w:r>
      <w:r w:rsidRPr="00F82B78">
        <w:rPr>
          <w:color w:val="auto"/>
        </w:rPr>
        <w:t>rokoch ekonomickej krízy sa dostala na úroveň 10</w:t>
      </w:r>
      <w:r>
        <w:rPr>
          <w:color w:val="auto"/>
        </w:rPr>
        <w:t xml:space="preserve"> </w:t>
      </w:r>
      <w:r w:rsidRPr="00F82B78">
        <w:rPr>
          <w:color w:val="auto"/>
        </w:rPr>
        <w:t>%, do roku 2016 sa mieru podarilo znížiť na 5,8</w:t>
      </w:r>
      <w:r>
        <w:rPr>
          <w:color w:val="auto"/>
        </w:rPr>
        <w:t xml:space="preserve"> </w:t>
      </w:r>
      <w:r w:rsidRPr="00F82B78">
        <w:rPr>
          <w:color w:val="auto"/>
        </w:rPr>
        <w:t xml:space="preserve">%. </w:t>
      </w:r>
    </w:p>
  </w:footnote>
  <w:footnote w:id="34">
    <w:p w14:paraId="4E5AA251" w14:textId="5AFE0D02" w:rsidR="005F376C" w:rsidRDefault="005F376C" w:rsidP="00085B2C">
      <w:pPr>
        <w:pStyle w:val="Textpoznpodarou"/>
      </w:pPr>
      <w:r w:rsidRPr="00F82B78">
        <w:rPr>
          <w:rStyle w:val="Znakapoznpodarou"/>
          <w:color w:val="auto"/>
        </w:rPr>
        <w:footnoteRef/>
      </w:r>
      <w:r w:rsidRPr="00F82B78">
        <w:rPr>
          <w:color w:val="auto"/>
        </w:rPr>
        <w:t xml:space="preserve"> Podľa údajov EUROSTAT, miera dlhodobej nezamestnanosti v krajinách EÚ v roku 2016 bola na úrovni 4</w:t>
      </w:r>
      <w:r>
        <w:rPr>
          <w:color w:val="auto"/>
        </w:rPr>
        <w:t> </w:t>
      </w:r>
      <w:r w:rsidRPr="00F82B78">
        <w:rPr>
          <w:color w:val="auto"/>
        </w:rPr>
        <w:t xml:space="preserve">% v porovnaní </w:t>
      </w:r>
      <w:r w:rsidRPr="00F82B78">
        <w:t>so SR, kde bola na úrovni 5,8</w:t>
      </w:r>
      <w:r>
        <w:t xml:space="preserve"> </w:t>
      </w:r>
      <w:r w:rsidRPr="00F82B78">
        <w:t>%</w:t>
      </w:r>
      <w:r>
        <w:t xml:space="preserve"> </w:t>
      </w:r>
    </w:p>
  </w:footnote>
  <w:footnote w:id="35">
    <w:p w14:paraId="0611CCEE" w14:textId="77777777" w:rsidR="005F376C" w:rsidRDefault="005F376C" w:rsidP="00085B2C">
      <w:pPr>
        <w:pStyle w:val="Textpoznpodarou"/>
      </w:pPr>
      <w:r>
        <w:rPr>
          <w:rStyle w:val="Znakapoznpodarou"/>
        </w:rPr>
        <w:footnoteRef/>
      </w:r>
      <w:r>
        <w:t xml:space="preserve"> OECD: </w:t>
      </w:r>
      <w:proofErr w:type="spellStart"/>
      <w:r>
        <w:t>Automation</w:t>
      </w:r>
      <w:proofErr w:type="spellEnd"/>
      <w:r>
        <w:t xml:space="preserve"> and </w:t>
      </w:r>
      <w:proofErr w:type="spellStart"/>
      <w:r>
        <w:t>Independent</w:t>
      </w:r>
      <w:proofErr w:type="spellEnd"/>
      <w:r>
        <w:t xml:space="preserve"> </w:t>
      </w:r>
      <w:proofErr w:type="spellStart"/>
      <w:r>
        <w:t>Work</w:t>
      </w:r>
      <w:proofErr w:type="spellEnd"/>
      <w:r>
        <w:t xml:space="preserve"> in a </w:t>
      </w:r>
      <w:proofErr w:type="spellStart"/>
      <w:r>
        <w:t>Digital</w:t>
      </w:r>
      <w:proofErr w:type="spellEnd"/>
      <w:r>
        <w:t xml:space="preserve"> </w:t>
      </w:r>
      <w:proofErr w:type="spellStart"/>
      <w:r>
        <w:t>Economy</w:t>
      </w:r>
      <w:proofErr w:type="spellEnd"/>
      <w:r>
        <w:t xml:space="preserve">, </w:t>
      </w:r>
      <w:proofErr w:type="spellStart"/>
      <w:r>
        <w:t>Policy</w:t>
      </w:r>
      <w:proofErr w:type="spellEnd"/>
      <w:r>
        <w:t xml:space="preserve"> </w:t>
      </w:r>
      <w:proofErr w:type="spellStart"/>
      <w:r>
        <w:t>Brief</w:t>
      </w:r>
      <w:proofErr w:type="spellEnd"/>
      <w:r>
        <w:t xml:space="preserve"> on </w:t>
      </w:r>
      <w:proofErr w:type="spellStart"/>
      <w:r>
        <w:t>the</w:t>
      </w:r>
      <w:proofErr w:type="spellEnd"/>
      <w:r>
        <w:t xml:space="preserve"> </w:t>
      </w:r>
      <w:proofErr w:type="spellStart"/>
      <w:r>
        <w:t>Future</w:t>
      </w:r>
      <w:proofErr w:type="spellEnd"/>
      <w:r>
        <w:t xml:space="preserve"> of </w:t>
      </w:r>
      <w:proofErr w:type="spellStart"/>
      <w:r>
        <w:t>the</w:t>
      </w:r>
      <w:proofErr w:type="spellEnd"/>
      <w:r>
        <w:t xml:space="preserve"> </w:t>
      </w:r>
      <w:proofErr w:type="spellStart"/>
      <w:r>
        <w:t>Work</w:t>
      </w:r>
      <w:proofErr w:type="spellEnd"/>
      <w:r>
        <w:t>, OECD, Paríž, 2016</w:t>
      </w:r>
    </w:p>
  </w:footnote>
  <w:footnote w:id="36">
    <w:p w14:paraId="73EF6F38" w14:textId="77777777" w:rsidR="005F376C" w:rsidRDefault="005F376C" w:rsidP="00085B2C">
      <w:pPr>
        <w:pStyle w:val="Textpoznpodarou"/>
      </w:pPr>
      <w:r>
        <w:rPr>
          <w:rStyle w:val="Znakapoznpodarou"/>
        </w:rPr>
        <w:footnoteRef/>
      </w:r>
      <w:r>
        <w:t xml:space="preserve"> Centrum spoločenských a psychologických vied SAV, 2016</w:t>
      </w:r>
    </w:p>
  </w:footnote>
  <w:footnote w:id="37">
    <w:p w14:paraId="305D980B" w14:textId="22DD60B4" w:rsidR="005F376C" w:rsidRDefault="005F376C" w:rsidP="00085B2C">
      <w:pPr>
        <w:pStyle w:val="Textpoznpodarou"/>
      </w:pPr>
      <w:r>
        <w:rPr>
          <w:rStyle w:val="Znakapoznpodarou"/>
        </w:rPr>
        <w:footnoteRef/>
      </w:r>
      <w:r>
        <w:t xml:space="preserve"> </w:t>
      </w:r>
      <w:bookmarkStart w:id="16" w:name="_Hlk499240816"/>
      <w:r>
        <w:t>Inštitút finančnej politiky MF SR: Tri výzvy slovenskej ekonomiky, aktualizácia metodiky identifikácie priorít Slovenska, IFP,MF SR, Bratislava, 2017</w:t>
      </w:r>
      <w:bookmarkEnd w:id="16"/>
    </w:p>
  </w:footnote>
  <w:footnote w:id="38">
    <w:p w14:paraId="119EABDA" w14:textId="21D3B03C" w:rsidR="005F376C" w:rsidRDefault="005F376C" w:rsidP="00E83DA3">
      <w:pPr>
        <w:pStyle w:val="Textpoznpodarou"/>
      </w:pPr>
      <w:r>
        <w:rPr>
          <w:rStyle w:val="Znakapoznpodarou"/>
        </w:rPr>
        <w:footnoteRef/>
      </w:r>
      <w:r>
        <w:t xml:space="preserve"> </w:t>
      </w:r>
      <w:r>
        <w:rPr>
          <w:rFonts w:eastAsia="Calibri"/>
          <w:szCs w:val="22"/>
        </w:rPr>
        <w:t>Výsledky testovania uskutočneného v roku 2015 boli v prepade v porovnaní s výsledkami testovania v rokoch 2009 a 2013 vo všetkých testovaných kategóriách a dosiahli priemerný výsledok 463 bodov, čo je výrazne pod priemerom OECD (492 bodov, pri maximálnom počte 505 bodov)</w:t>
      </w:r>
    </w:p>
  </w:footnote>
  <w:footnote w:id="39">
    <w:p w14:paraId="0F33731C" w14:textId="0F8FFDBF" w:rsidR="005F376C" w:rsidRDefault="005F376C" w:rsidP="00085B2C">
      <w:pPr>
        <w:pStyle w:val="Textpoznpodarou"/>
      </w:pPr>
      <w:r>
        <w:rPr>
          <w:rStyle w:val="Znakapoznpodarou"/>
        </w:rPr>
        <w:footnoteRef/>
      </w:r>
      <w:r>
        <w:t xml:space="preserve"> </w:t>
      </w:r>
      <w:bookmarkStart w:id="17" w:name="_Hlk499241186"/>
      <w:r w:rsidRPr="0084542A">
        <w:rPr>
          <w:szCs w:val="18"/>
        </w:rPr>
        <w:t xml:space="preserve">OECD: </w:t>
      </w:r>
      <w:r w:rsidRPr="0084542A">
        <w:rPr>
          <w:iCs/>
          <w:szCs w:val="18"/>
        </w:rPr>
        <w:t>PISA 2012</w:t>
      </w:r>
      <w:r>
        <w:rPr>
          <w:iCs/>
          <w:szCs w:val="18"/>
        </w:rPr>
        <w:t>.</w:t>
      </w:r>
      <w:r w:rsidRPr="0084542A">
        <w:rPr>
          <w:iCs/>
          <w:szCs w:val="18"/>
        </w:rPr>
        <w:t xml:space="preserve"> </w:t>
      </w:r>
      <w:proofErr w:type="spellStart"/>
      <w:r w:rsidRPr="0084542A">
        <w:rPr>
          <w:iCs/>
          <w:szCs w:val="18"/>
        </w:rPr>
        <w:t>Results</w:t>
      </w:r>
      <w:proofErr w:type="spellEnd"/>
      <w:r w:rsidRPr="0084542A">
        <w:rPr>
          <w:iCs/>
          <w:szCs w:val="18"/>
        </w:rPr>
        <w:t xml:space="preserve"> in </w:t>
      </w:r>
      <w:proofErr w:type="spellStart"/>
      <w:r w:rsidRPr="0084542A">
        <w:rPr>
          <w:iCs/>
          <w:szCs w:val="18"/>
        </w:rPr>
        <w:t>Focus</w:t>
      </w:r>
      <w:proofErr w:type="spellEnd"/>
      <w:r w:rsidRPr="0084542A">
        <w:rPr>
          <w:iCs/>
          <w:szCs w:val="18"/>
        </w:rPr>
        <w:t xml:space="preserve"> </w:t>
      </w:r>
      <w:proofErr w:type="spellStart"/>
      <w:r w:rsidRPr="0084542A">
        <w:rPr>
          <w:iCs/>
          <w:szCs w:val="18"/>
        </w:rPr>
        <w:t>What</w:t>
      </w:r>
      <w:proofErr w:type="spellEnd"/>
      <w:r w:rsidRPr="0084542A">
        <w:rPr>
          <w:iCs/>
          <w:szCs w:val="18"/>
        </w:rPr>
        <w:t xml:space="preserve"> 15-year-olds </w:t>
      </w:r>
      <w:proofErr w:type="spellStart"/>
      <w:r w:rsidRPr="0084542A">
        <w:rPr>
          <w:iCs/>
          <w:szCs w:val="18"/>
        </w:rPr>
        <w:t>know</w:t>
      </w:r>
      <w:proofErr w:type="spellEnd"/>
      <w:r w:rsidRPr="0084542A">
        <w:rPr>
          <w:iCs/>
          <w:szCs w:val="18"/>
        </w:rPr>
        <w:t xml:space="preserve"> and </w:t>
      </w:r>
      <w:proofErr w:type="spellStart"/>
      <w:r w:rsidRPr="0084542A">
        <w:rPr>
          <w:iCs/>
          <w:szCs w:val="18"/>
        </w:rPr>
        <w:t>what</w:t>
      </w:r>
      <w:proofErr w:type="spellEnd"/>
      <w:r w:rsidRPr="0084542A">
        <w:rPr>
          <w:iCs/>
          <w:szCs w:val="18"/>
        </w:rPr>
        <w:t xml:space="preserve"> </w:t>
      </w:r>
      <w:proofErr w:type="spellStart"/>
      <w:r w:rsidRPr="0084542A">
        <w:rPr>
          <w:iCs/>
          <w:szCs w:val="18"/>
        </w:rPr>
        <w:t>they</w:t>
      </w:r>
      <w:proofErr w:type="spellEnd"/>
      <w:r w:rsidRPr="0084542A">
        <w:rPr>
          <w:iCs/>
          <w:szCs w:val="18"/>
        </w:rPr>
        <w:t xml:space="preserve"> </w:t>
      </w:r>
      <w:proofErr w:type="spellStart"/>
      <w:r w:rsidRPr="0084542A">
        <w:rPr>
          <w:iCs/>
          <w:szCs w:val="18"/>
        </w:rPr>
        <w:t>can</w:t>
      </w:r>
      <w:proofErr w:type="spellEnd"/>
      <w:r w:rsidRPr="0084542A">
        <w:rPr>
          <w:iCs/>
          <w:szCs w:val="18"/>
        </w:rPr>
        <w:t xml:space="preserve"> do </w:t>
      </w:r>
      <w:proofErr w:type="spellStart"/>
      <w:r w:rsidRPr="0084542A">
        <w:rPr>
          <w:iCs/>
          <w:szCs w:val="18"/>
        </w:rPr>
        <w:t>with</w:t>
      </w:r>
      <w:proofErr w:type="spellEnd"/>
      <w:r w:rsidRPr="0084542A">
        <w:rPr>
          <w:iCs/>
          <w:szCs w:val="18"/>
        </w:rPr>
        <w:t xml:space="preserve"> </w:t>
      </w:r>
      <w:proofErr w:type="spellStart"/>
      <w:r w:rsidRPr="0084542A">
        <w:rPr>
          <w:iCs/>
          <w:szCs w:val="18"/>
        </w:rPr>
        <w:t>what</w:t>
      </w:r>
      <w:proofErr w:type="spellEnd"/>
      <w:r w:rsidRPr="0084542A">
        <w:rPr>
          <w:iCs/>
          <w:szCs w:val="18"/>
        </w:rPr>
        <w:t xml:space="preserve"> </w:t>
      </w:r>
      <w:proofErr w:type="spellStart"/>
      <w:r w:rsidRPr="0084542A">
        <w:rPr>
          <w:iCs/>
          <w:szCs w:val="18"/>
        </w:rPr>
        <w:t>they</w:t>
      </w:r>
      <w:proofErr w:type="spellEnd"/>
      <w:r w:rsidRPr="0084542A">
        <w:rPr>
          <w:iCs/>
          <w:szCs w:val="18"/>
        </w:rPr>
        <w:t xml:space="preserve"> </w:t>
      </w:r>
      <w:proofErr w:type="spellStart"/>
      <w:r w:rsidRPr="0084542A">
        <w:rPr>
          <w:iCs/>
          <w:szCs w:val="18"/>
        </w:rPr>
        <w:t>know</w:t>
      </w:r>
      <w:proofErr w:type="spellEnd"/>
      <w:r w:rsidRPr="0084542A">
        <w:rPr>
          <w:szCs w:val="18"/>
        </w:rPr>
        <w:t>. OECD, Paríž, 2014</w:t>
      </w:r>
      <w:bookmarkEnd w:id="17"/>
      <w:r>
        <w:rPr>
          <w:szCs w:val="18"/>
        </w:rPr>
        <w:t>, p. 13.</w:t>
      </w:r>
    </w:p>
  </w:footnote>
  <w:footnote w:id="40">
    <w:p w14:paraId="43D3B364" w14:textId="77777777" w:rsidR="005F376C" w:rsidRPr="00FB084D" w:rsidRDefault="005F376C" w:rsidP="00085B2C">
      <w:pPr>
        <w:pStyle w:val="Textpoznpodarou"/>
      </w:pPr>
      <w:r>
        <w:rPr>
          <w:rStyle w:val="Znakapoznpodarou"/>
        </w:rPr>
        <w:footnoteRef/>
      </w:r>
      <w:r>
        <w:t xml:space="preserve"> </w:t>
      </w:r>
      <w:r w:rsidRPr="00E25759">
        <w:t>viď  údaje</w:t>
      </w:r>
      <w:r>
        <w:t xml:space="preserve"> Národného ústavu certifikovaných meraní vzdelávania, Testovanie 9</w:t>
      </w:r>
    </w:p>
  </w:footnote>
  <w:footnote w:id="41">
    <w:p w14:paraId="2B95E257" w14:textId="5CEA4BB6" w:rsidR="005F376C" w:rsidRDefault="005F376C" w:rsidP="00E83DA3">
      <w:pPr>
        <w:pStyle w:val="Textpoznpodarou"/>
      </w:pPr>
      <w:r>
        <w:rPr>
          <w:rStyle w:val="Znakapoznpodarou"/>
        </w:rPr>
        <w:footnoteRef/>
      </w:r>
      <w:r>
        <w:t xml:space="preserve"> Zatiaľ čo percento žiakov opakujúcich ročník sa v období medzi 2005 a 2015 výrazne nezmenilo (</w:t>
      </w:r>
      <w:r>
        <w:rPr>
          <w:rFonts w:eastAsia="Calibri"/>
          <w:szCs w:val="22"/>
        </w:rPr>
        <w:t>2,55 </w:t>
      </w:r>
      <w:r w:rsidRPr="000B41B0">
        <w:rPr>
          <w:rFonts w:eastAsia="Calibri"/>
          <w:szCs w:val="22"/>
        </w:rPr>
        <w:t>% v</w:t>
      </w:r>
      <w:r>
        <w:rPr>
          <w:rFonts w:eastAsia="Calibri"/>
          <w:szCs w:val="22"/>
        </w:rPr>
        <w:t xml:space="preserve">šetkých žiakov v roku 2005 a 2,71 </w:t>
      </w:r>
      <w:r w:rsidRPr="000B41B0">
        <w:rPr>
          <w:rFonts w:eastAsia="Calibri"/>
          <w:szCs w:val="22"/>
        </w:rPr>
        <w:t>% všetkýc</w:t>
      </w:r>
      <w:r>
        <w:rPr>
          <w:rFonts w:eastAsia="Calibri"/>
          <w:szCs w:val="22"/>
        </w:rPr>
        <w:t xml:space="preserve">h žiakov v roku 2015), v krajoch s vyššou mierou nezamestnanosti a chudoby bol počas uvedeného obdobia v Prešovskom a Košickom zaznamenaný prepad na priemernej úrovni  1,27 p.b. </w:t>
      </w:r>
      <w:r w:rsidRPr="000B41B0">
        <w:rPr>
          <w:rFonts w:eastAsia="Calibri"/>
          <w:szCs w:val="22"/>
        </w:rPr>
        <w:t xml:space="preserve"> </w:t>
      </w:r>
    </w:p>
  </w:footnote>
  <w:footnote w:id="42">
    <w:p w14:paraId="3018E35F" w14:textId="77777777" w:rsidR="005F376C" w:rsidRDefault="005F376C" w:rsidP="00085B2C">
      <w:pPr>
        <w:pStyle w:val="Textpoznpodarou"/>
      </w:pPr>
      <w:r>
        <w:rPr>
          <w:rStyle w:val="Znakapoznpodarou"/>
        </w:rPr>
        <w:footnoteRef/>
      </w:r>
      <w:r>
        <w:t xml:space="preserve"> </w:t>
      </w:r>
      <w:bookmarkStart w:id="18" w:name="_Hlk499241214"/>
      <w:r>
        <w:t>KPMG: Pilotný projekt – hodnotenie príspevku EÚ 2020, KPMG, 2015, Bratislava</w:t>
      </w:r>
      <w:bookmarkEnd w:id="18"/>
    </w:p>
  </w:footnote>
  <w:footnote w:id="43">
    <w:p w14:paraId="45D77D17" w14:textId="77777777" w:rsidR="005F376C" w:rsidRDefault="005F376C" w:rsidP="00085B2C">
      <w:pPr>
        <w:pStyle w:val="Textpoznpodarou"/>
      </w:pPr>
      <w:r>
        <w:rPr>
          <w:rStyle w:val="Znakapoznpodarou"/>
        </w:rPr>
        <w:footnoteRef/>
      </w:r>
      <w:r>
        <w:t xml:space="preserve"> </w:t>
      </w:r>
      <w:bookmarkStart w:id="19" w:name="_Hlk499241246"/>
      <w:proofErr w:type="spellStart"/>
      <w:r>
        <w:t>World</w:t>
      </w:r>
      <w:proofErr w:type="spellEnd"/>
      <w:r>
        <w:t xml:space="preserve"> </w:t>
      </w:r>
      <w:proofErr w:type="spellStart"/>
      <w:r>
        <w:t>Economic</w:t>
      </w:r>
      <w:proofErr w:type="spellEnd"/>
      <w:r>
        <w:t xml:space="preserve"> </w:t>
      </w:r>
      <w:proofErr w:type="spellStart"/>
      <w:r>
        <w:t>Forum</w:t>
      </w:r>
      <w:proofErr w:type="spellEnd"/>
      <w:r>
        <w:t xml:space="preserve">: </w:t>
      </w:r>
      <w:proofErr w:type="spellStart"/>
      <w:r>
        <w:t>The</w:t>
      </w:r>
      <w:proofErr w:type="spellEnd"/>
      <w:r>
        <w:t xml:space="preserve"> </w:t>
      </w:r>
      <w:proofErr w:type="spellStart"/>
      <w:r>
        <w:t>Global</w:t>
      </w:r>
      <w:proofErr w:type="spellEnd"/>
      <w:r>
        <w:t xml:space="preserve"> </w:t>
      </w:r>
      <w:proofErr w:type="spellStart"/>
      <w:r>
        <w:t>Competetiveness</w:t>
      </w:r>
      <w:proofErr w:type="spellEnd"/>
      <w:r>
        <w:t xml:space="preserve"> Report 2017-2018, </w:t>
      </w:r>
      <w:proofErr w:type="spellStart"/>
      <w:r>
        <w:t>Insight</w:t>
      </w:r>
      <w:proofErr w:type="spellEnd"/>
      <w:r>
        <w:t xml:space="preserve"> Report, WEF, Ženeva, 2017</w:t>
      </w:r>
      <w:bookmarkEnd w:id="19"/>
    </w:p>
  </w:footnote>
  <w:footnote w:id="44">
    <w:p w14:paraId="76E6C36E" w14:textId="23D4D335" w:rsidR="005F376C" w:rsidRPr="0013666D" w:rsidRDefault="005F376C" w:rsidP="00085B2C">
      <w:pPr>
        <w:pStyle w:val="Textpoznpodarou"/>
      </w:pPr>
      <w:r>
        <w:rPr>
          <w:rStyle w:val="Znakapoznpodarou"/>
        </w:rPr>
        <w:footnoteRef/>
      </w:r>
      <w:r>
        <w:t xml:space="preserve"> Podľa údajov EUROSTAT, miera dlhodobej nezamestnanosti v krajinách EÚ v roku 2016 bola na úrovni 4 </w:t>
      </w:r>
      <w:r w:rsidRPr="00E25759">
        <w:t>% v </w:t>
      </w:r>
      <w:r w:rsidRPr="0013666D">
        <w:t>porovnaní so SR, kde bola na úrovni 5,8</w:t>
      </w:r>
      <w:r>
        <w:t xml:space="preserve"> </w:t>
      </w:r>
      <w:r w:rsidRPr="0013666D">
        <w:t xml:space="preserve">%  </w:t>
      </w:r>
    </w:p>
  </w:footnote>
  <w:footnote w:id="45">
    <w:p w14:paraId="0DE43844" w14:textId="5421596C" w:rsidR="005F376C" w:rsidRPr="00E25759" w:rsidRDefault="005F376C" w:rsidP="00085B2C">
      <w:pPr>
        <w:pStyle w:val="Textpoznpodarou"/>
      </w:pPr>
      <w:r w:rsidRPr="0013666D">
        <w:rPr>
          <w:rStyle w:val="Znakapoznpodarou"/>
        </w:rPr>
        <w:footnoteRef/>
      </w:r>
      <w:r w:rsidRPr="0013666D">
        <w:t xml:space="preserve"> Podľa údajov Eurostat, miera zamestnanosti ľudí s ukončeným vzdelaním na úrovni ISCED 1 a ISCED 2 v krajinách EÚ dosahovala 16,9</w:t>
      </w:r>
      <w:r>
        <w:t> </w:t>
      </w:r>
      <w:r w:rsidRPr="0013666D">
        <w:t>%, zatiaľ čo v SR dosahovala len 4,3</w:t>
      </w:r>
      <w:r>
        <w:t xml:space="preserve"> </w:t>
      </w:r>
      <w:r w:rsidRPr="0013666D">
        <w:t>%.</w:t>
      </w:r>
    </w:p>
  </w:footnote>
  <w:footnote w:id="46">
    <w:p w14:paraId="074F525D" w14:textId="55634992" w:rsidR="005F376C" w:rsidRPr="00E25759" w:rsidRDefault="005F376C" w:rsidP="00085B2C">
      <w:pPr>
        <w:pStyle w:val="Textpoznpodarou"/>
      </w:pPr>
      <w:r>
        <w:rPr>
          <w:rStyle w:val="Znakapoznpodarou"/>
        </w:rPr>
        <w:footnoteRef/>
      </w:r>
      <w:r>
        <w:t xml:space="preserve"> ku termínu 31.10.2017 podľa údajov ÚPSVaR</w:t>
      </w:r>
    </w:p>
  </w:footnote>
  <w:footnote w:id="47">
    <w:p w14:paraId="09175C1B" w14:textId="61F024D1" w:rsidR="005F376C" w:rsidRPr="0013666D" w:rsidRDefault="005F376C" w:rsidP="00085B2C">
      <w:pPr>
        <w:pStyle w:val="Textpoznpodarou"/>
      </w:pPr>
      <w:r>
        <w:rPr>
          <w:rStyle w:val="Znakapoznpodarou"/>
        </w:rPr>
        <w:footnoteRef/>
      </w:r>
      <w:r>
        <w:t xml:space="preserve"> </w:t>
      </w:r>
      <w:r w:rsidRPr="0013666D">
        <w:t>Podľa údajov EUROSTAT, miera registrovanej nezamestnanosti v roku 2016 v krajinách EÚ bola na úrovni 8,6</w:t>
      </w:r>
      <w:r>
        <w:t> </w:t>
      </w:r>
      <w:r w:rsidRPr="0013666D">
        <w:t xml:space="preserve">%, </w:t>
      </w:r>
      <w:proofErr w:type="spellStart"/>
      <w:r w:rsidRPr="0013666D">
        <w:t>zatial</w:t>
      </w:r>
      <w:proofErr w:type="spellEnd"/>
      <w:r w:rsidRPr="0013666D">
        <w:t xml:space="preserve"> čo v SR bola na úrovni 9,6</w:t>
      </w:r>
      <w:r>
        <w:t xml:space="preserve"> </w:t>
      </w:r>
      <w:r w:rsidRPr="0013666D">
        <w:t>%. Od tohoto obdobia sa mieru registrovanej nezamestnanosti v SR podarilo znížiť.</w:t>
      </w:r>
    </w:p>
  </w:footnote>
  <w:footnote w:id="48">
    <w:p w14:paraId="603532A0" w14:textId="77777777" w:rsidR="005F376C" w:rsidRPr="0013666D" w:rsidRDefault="005F376C" w:rsidP="00085B2C">
      <w:pPr>
        <w:pStyle w:val="Textpoznpodarou"/>
      </w:pPr>
      <w:r w:rsidRPr="0013666D">
        <w:rPr>
          <w:rStyle w:val="Znakapoznpodarou"/>
        </w:rPr>
        <w:footnoteRef/>
      </w:r>
      <w:r w:rsidRPr="0013666D">
        <w:t xml:space="preserve"> </w:t>
      </w:r>
      <w:bookmarkStart w:id="20" w:name="_Hlk499241980"/>
      <w:r w:rsidRPr="0013666D">
        <w:t xml:space="preserve">OECD: </w:t>
      </w:r>
      <w:proofErr w:type="spellStart"/>
      <w:r w:rsidRPr="0013666D">
        <w:t>How</w:t>
      </w:r>
      <w:proofErr w:type="spellEnd"/>
      <w:r w:rsidRPr="0013666D">
        <w:t xml:space="preserve"> </w:t>
      </w:r>
      <w:proofErr w:type="spellStart"/>
      <w:r w:rsidRPr="0013666D">
        <w:t>Good</w:t>
      </w:r>
      <w:proofErr w:type="spellEnd"/>
      <w:r w:rsidRPr="0013666D">
        <w:t xml:space="preserve"> </w:t>
      </w:r>
      <w:proofErr w:type="spellStart"/>
      <w:r w:rsidRPr="0013666D">
        <w:t>is</w:t>
      </w:r>
      <w:proofErr w:type="spellEnd"/>
      <w:r w:rsidRPr="0013666D">
        <w:t xml:space="preserve"> </w:t>
      </w:r>
      <w:proofErr w:type="spellStart"/>
      <w:r w:rsidRPr="0013666D">
        <w:t>Your</w:t>
      </w:r>
      <w:proofErr w:type="spellEnd"/>
      <w:r w:rsidRPr="0013666D">
        <w:t xml:space="preserve"> </w:t>
      </w:r>
      <w:proofErr w:type="spellStart"/>
      <w:r w:rsidRPr="0013666D">
        <w:t>Job</w:t>
      </w:r>
      <w:proofErr w:type="spellEnd"/>
      <w:r w:rsidRPr="0013666D">
        <w:t xml:space="preserve">? </w:t>
      </w:r>
      <w:proofErr w:type="spellStart"/>
      <w:r w:rsidRPr="0013666D">
        <w:t>Measuring</w:t>
      </w:r>
      <w:proofErr w:type="spellEnd"/>
      <w:r w:rsidRPr="0013666D">
        <w:t xml:space="preserve"> and </w:t>
      </w:r>
      <w:proofErr w:type="spellStart"/>
      <w:r w:rsidRPr="0013666D">
        <w:t>Assessing</w:t>
      </w:r>
      <w:proofErr w:type="spellEnd"/>
      <w:r w:rsidRPr="0013666D">
        <w:t xml:space="preserve"> </w:t>
      </w:r>
      <w:proofErr w:type="spellStart"/>
      <w:r w:rsidRPr="0013666D">
        <w:t>Job</w:t>
      </w:r>
      <w:proofErr w:type="spellEnd"/>
      <w:r w:rsidRPr="0013666D">
        <w:t xml:space="preserve"> </w:t>
      </w:r>
      <w:proofErr w:type="spellStart"/>
      <w:r w:rsidRPr="0013666D">
        <w:t>Quality</w:t>
      </w:r>
      <w:proofErr w:type="spellEnd"/>
      <w:r w:rsidRPr="0013666D">
        <w:t>, OECD, Paríž, 2016</w:t>
      </w:r>
    </w:p>
    <w:bookmarkEnd w:id="20"/>
  </w:footnote>
  <w:footnote w:id="49">
    <w:p w14:paraId="73E41484" w14:textId="2E6A2166" w:rsidR="005F376C" w:rsidRPr="0013666D" w:rsidRDefault="005F376C" w:rsidP="00085B2C">
      <w:pPr>
        <w:pStyle w:val="Textpoznpodarou"/>
      </w:pPr>
      <w:r w:rsidRPr="0013666D">
        <w:rPr>
          <w:rStyle w:val="Znakapoznpodarou"/>
        </w:rPr>
        <w:footnoteRef/>
      </w:r>
      <w:r w:rsidRPr="0013666D">
        <w:t xml:space="preserve"> Podľa údajov EUROSTAT miera účasti dospelej populácie vo veku 25-64 rokov v krajinách EÚ dosahuje 10,7%, zatiaľ čo v SR len 3,1</w:t>
      </w:r>
      <w:r>
        <w:t> </w:t>
      </w:r>
      <w:r w:rsidRPr="0013666D">
        <w:t xml:space="preserve">% </w:t>
      </w:r>
    </w:p>
  </w:footnote>
  <w:footnote w:id="50">
    <w:p w14:paraId="0FF3F77A" w14:textId="09265AB9" w:rsidR="005F376C" w:rsidRPr="0013666D" w:rsidRDefault="005F376C" w:rsidP="00085B2C">
      <w:pPr>
        <w:pStyle w:val="Textpoznpodarou"/>
      </w:pPr>
      <w:r w:rsidRPr="0013666D">
        <w:rPr>
          <w:rStyle w:val="Znakapoznpodarou"/>
        </w:rPr>
        <w:footnoteRef/>
      </w:r>
      <w:r w:rsidRPr="0013666D">
        <w:t xml:space="preserve"> Podľa metodiky OECD</w:t>
      </w:r>
      <w:r>
        <w:t xml:space="preserve"> sa</w:t>
      </w:r>
      <w:r w:rsidRPr="0013666D">
        <w:t xml:space="preserve"> na celoživotnom vzdelávaní zúčastňuje len 32</w:t>
      </w:r>
      <w:r>
        <w:t xml:space="preserve"> </w:t>
      </w:r>
      <w:r w:rsidRPr="0013666D">
        <w:t>% celkovej populácie SR, zatiaľ priemer OECD je 51</w:t>
      </w:r>
      <w:r>
        <w:t> </w:t>
      </w:r>
      <w:r w:rsidRPr="0013666D">
        <w:t xml:space="preserve">% (in: EOCD, </w:t>
      </w:r>
      <w:proofErr w:type="spellStart"/>
      <w:r w:rsidRPr="0013666D">
        <w:t>Education</w:t>
      </w:r>
      <w:proofErr w:type="spellEnd"/>
      <w:r w:rsidRPr="0013666D">
        <w:t xml:space="preserve"> at a </w:t>
      </w:r>
      <w:proofErr w:type="spellStart"/>
      <w:r w:rsidRPr="0013666D">
        <w:t>Glance</w:t>
      </w:r>
      <w:proofErr w:type="spellEnd"/>
      <w:r w:rsidRPr="0013666D">
        <w:t xml:space="preserve">, 2017) </w:t>
      </w:r>
    </w:p>
  </w:footnote>
  <w:footnote w:id="51">
    <w:p w14:paraId="1D69CFF9" w14:textId="77777777" w:rsidR="005F376C" w:rsidRPr="0013666D" w:rsidRDefault="005F376C" w:rsidP="00085B2C">
      <w:pPr>
        <w:pStyle w:val="Textpoznpodarou"/>
      </w:pPr>
      <w:r w:rsidRPr="0013666D">
        <w:rPr>
          <w:rStyle w:val="Znakapoznpodarou"/>
        </w:rPr>
        <w:footnoteRef/>
      </w:r>
      <w:r w:rsidRPr="0013666D">
        <w:t xml:space="preserve"> v zmysle „</w:t>
      </w:r>
      <w:proofErr w:type="spellStart"/>
      <w:r w:rsidRPr="0013666D">
        <w:t>vocational</w:t>
      </w:r>
      <w:proofErr w:type="spellEnd"/>
      <w:r w:rsidRPr="0013666D">
        <w:t xml:space="preserve"> </w:t>
      </w:r>
      <w:proofErr w:type="spellStart"/>
      <w:r w:rsidRPr="0013666D">
        <w:t>training</w:t>
      </w:r>
      <w:proofErr w:type="spellEnd"/>
      <w:r w:rsidRPr="0013666D">
        <w:t>“</w:t>
      </w:r>
    </w:p>
  </w:footnote>
  <w:footnote w:id="52">
    <w:p w14:paraId="7F5C5653" w14:textId="5B2BE2E5" w:rsidR="005F376C" w:rsidRPr="0013666D" w:rsidRDefault="005F376C" w:rsidP="00085B2C">
      <w:pPr>
        <w:pStyle w:val="Textpoznpodarou"/>
      </w:pPr>
      <w:r w:rsidRPr="0013666D">
        <w:rPr>
          <w:rStyle w:val="Znakapoznpodarou"/>
        </w:rPr>
        <w:footnoteRef/>
      </w:r>
      <w:r w:rsidRPr="0013666D">
        <w:t xml:space="preserve"> Podľa údajov OECD, finančné prostriedky z verejných zdrojov investované do realizácie aktívnych opatrení trhu práce v Slovenskej republike predstavujú 0,2</w:t>
      </w:r>
      <w:r>
        <w:t xml:space="preserve"> </w:t>
      </w:r>
      <w:r w:rsidRPr="0013666D">
        <w:t>% HDP, zatiaľ čo priemer krajín OECD je 0,53</w:t>
      </w:r>
      <w:r>
        <w:t xml:space="preserve"> </w:t>
      </w:r>
      <w:r w:rsidRPr="0013666D">
        <w:t>% HDP.</w:t>
      </w:r>
    </w:p>
  </w:footnote>
  <w:footnote w:id="53">
    <w:p w14:paraId="1468AA50" w14:textId="086DBA55" w:rsidR="005F376C" w:rsidRPr="0013666D" w:rsidRDefault="005F376C" w:rsidP="00085B2C">
      <w:pPr>
        <w:pStyle w:val="Textpoznpodarou"/>
      </w:pPr>
      <w:r w:rsidRPr="0013666D">
        <w:rPr>
          <w:rStyle w:val="Znakapoznpodarou"/>
        </w:rPr>
        <w:footnoteRef/>
      </w:r>
      <w:r w:rsidRPr="0013666D">
        <w:t xml:space="preserve"> Podľa údajov OECD, výška finančných zdrojov investovaných do vzdelávacích a tréningových programov realizovaných v rámci aktívnej politiky trhu práce v roku 2015 v SR predstavovala 0,01</w:t>
      </w:r>
      <w:r>
        <w:t xml:space="preserve"> </w:t>
      </w:r>
      <w:r w:rsidRPr="0013666D">
        <w:t>% HDP v porovnaní s priemerom krajín OECD kde suma predstavovala 0,13</w:t>
      </w:r>
      <w:r>
        <w:t xml:space="preserve"> </w:t>
      </w:r>
      <w:r w:rsidRPr="0013666D">
        <w:t>% HDP, zatiaľ čo suma investovaná do priamej finančnej podpory tvorby pracovných miest v SR predstavovala 0,02</w:t>
      </w:r>
      <w:r>
        <w:t xml:space="preserve"> </w:t>
      </w:r>
      <w:r w:rsidRPr="0013666D">
        <w:t>% HDP v</w:t>
      </w:r>
      <w:r>
        <w:t> </w:t>
      </w:r>
      <w:r w:rsidRPr="0013666D">
        <w:t>porovnaní</w:t>
      </w:r>
      <w:r>
        <w:t xml:space="preserve"> s priemerom</w:t>
      </w:r>
      <w:r w:rsidRPr="0013666D">
        <w:t xml:space="preserve"> krajín OECD, kde suma predstavovala 0,07</w:t>
      </w:r>
      <w:r>
        <w:t xml:space="preserve"> </w:t>
      </w:r>
      <w:r w:rsidRPr="0013666D">
        <w:t>% HDP (teda približne polovicu sumy investovanej do vzdelávacích a tréningových programov v porovnaní so SR, kde suma bola dvojnásobkom sumy investovanej do programov vzdelávania a tréningov)</w:t>
      </w:r>
    </w:p>
  </w:footnote>
  <w:footnote w:id="54">
    <w:p w14:paraId="0E5A71CB" w14:textId="77777777" w:rsidR="005F376C" w:rsidRPr="0013666D" w:rsidRDefault="005F376C" w:rsidP="00085B2C">
      <w:pPr>
        <w:pStyle w:val="Textpoznpodarou"/>
      </w:pPr>
      <w:r w:rsidRPr="0013666D">
        <w:rPr>
          <w:rStyle w:val="Znakapoznpodarou"/>
        </w:rPr>
        <w:footnoteRef/>
      </w:r>
      <w:r w:rsidRPr="0013666D">
        <w:t xml:space="preserve"> </w:t>
      </w:r>
      <w:bookmarkStart w:id="21" w:name="_Hlk499242105"/>
      <w:r w:rsidRPr="0013666D">
        <w:t>IFP: Odliv mozgov po slovensky</w:t>
      </w:r>
      <w:r>
        <w:t>,</w:t>
      </w:r>
      <w:r w:rsidRPr="0013666D">
        <w:t xml:space="preserve"> Analýza odchodov Slovákov do zahraničia od roku 2000, MFSR, Bratislava 2017</w:t>
      </w:r>
      <w:bookmarkEnd w:id="21"/>
    </w:p>
  </w:footnote>
  <w:footnote w:id="55">
    <w:p w14:paraId="3ECC2B19" w14:textId="77777777" w:rsidR="005F376C" w:rsidRDefault="005F376C" w:rsidP="00085B2C">
      <w:pPr>
        <w:pStyle w:val="Textpoznpodarou"/>
      </w:pPr>
      <w:r>
        <w:rPr>
          <w:rStyle w:val="Znakapoznpodarou"/>
        </w:rPr>
        <w:footnoteRef/>
      </w:r>
      <w:r>
        <w:t xml:space="preserve"> </w:t>
      </w:r>
      <w:proofErr w:type="spellStart"/>
      <w:r>
        <w:t>World</w:t>
      </w:r>
      <w:proofErr w:type="spellEnd"/>
      <w:r>
        <w:t xml:space="preserve"> </w:t>
      </w:r>
      <w:proofErr w:type="spellStart"/>
      <w:r>
        <w:t>Economic</w:t>
      </w:r>
      <w:proofErr w:type="spellEnd"/>
      <w:r>
        <w:t xml:space="preserve"> </w:t>
      </w:r>
      <w:proofErr w:type="spellStart"/>
      <w:r>
        <w:t>Forum</w:t>
      </w:r>
      <w:proofErr w:type="spellEnd"/>
      <w:r>
        <w:t xml:space="preserve">: </w:t>
      </w:r>
      <w:proofErr w:type="spellStart"/>
      <w:r>
        <w:t>The</w:t>
      </w:r>
      <w:proofErr w:type="spellEnd"/>
      <w:r>
        <w:t xml:space="preserve"> </w:t>
      </w:r>
      <w:proofErr w:type="spellStart"/>
      <w:r>
        <w:t>Global</w:t>
      </w:r>
      <w:proofErr w:type="spellEnd"/>
      <w:r>
        <w:t xml:space="preserve"> </w:t>
      </w:r>
      <w:proofErr w:type="spellStart"/>
      <w:r>
        <w:t>Competetiveness</w:t>
      </w:r>
      <w:proofErr w:type="spellEnd"/>
      <w:r>
        <w:t xml:space="preserve"> Report 2017-2018, </w:t>
      </w:r>
      <w:proofErr w:type="spellStart"/>
      <w:r>
        <w:t>Insight</w:t>
      </w:r>
      <w:proofErr w:type="spellEnd"/>
      <w:r>
        <w:t xml:space="preserve"> Report, WEF, Ženeva, 2017</w:t>
      </w:r>
    </w:p>
  </w:footnote>
  <w:footnote w:id="56">
    <w:p w14:paraId="1E61C394" w14:textId="712A1526" w:rsidR="005F376C" w:rsidRDefault="005F376C">
      <w:pPr>
        <w:pStyle w:val="Textpoznpodarou"/>
      </w:pPr>
      <w:r>
        <w:rPr>
          <w:rStyle w:val="Znakapoznpodarou"/>
        </w:rPr>
        <w:footnoteRef/>
      </w:r>
      <w:r>
        <w:t xml:space="preserve"> </w:t>
      </w:r>
      <w:r w:rsidRPr="00BA1981">
        <w:t xml:space="preserve">UN </w:t>
      </w:r>
      <w:proofErr w:type="spellStart"/>
      <w:r w:rsidRPr="00BA1981">
        <w:t>Special</w:t>
      </w:r>
      <w:proofErr w:type="spellEnd"/>
      <w:r w:rsidRPr="00BA1981">
        <w:t xml:space="preserve">, </w:t>
      </w:r>
      <w:proofErr w:type="spellStart"/>
      <w:r w:rsidRPr="00BA1981">
        <w:t>The</w:t>
      </w:r>
      <w:proofErr w:type="spellEnd"/>
      <w:r w:rsidRPr="00BA1981">
        <w:t xml:space="preserve"> </w:t>
      </w:r>
      <w:proofErr w:type="spellStart"/>
      <w:r w:rsidRPr="00BA1981">
        <w:t>official</w:t>
      </w:r>
      <w:proofErr w:type="spellEnd"/>
      <w:r w:rsidRPr="00BA1981">
        <w:t xml:space="preserve"> </w:t>
      </w:r>
      <w:proofErr w:type="spellStart"/>
      <w:r w:rsidRPr="00BA1981">
        <w:t>magazine</w:t>
      </w:r>
      <w:proofErr w:type="spellEnd"/>
      <w:r w:rsidRPr="00BA1981">
        <w:t xml:space="preserve"> of </w:t>
      </w:r>
      <w:proofErr w:type="spellStart"/>
      <w:r w:rsidRPr="00BA1981">
        <w:t>international</w:t>
      </w:r>
      <w:proofErr w:type="spellEnd"/>
      <w:r w:rsidRPr="00BA1981">
        <w:t xml:space="preserve"> civil </w:t>
      </w:r>
      <w:proofErr w:type="spellStart"/>
      <w:r w:rsidRPr="00BA1981">
        <w:t>servants</w:t>
      </w:r>
      <w:proofErr w:type="spellEnd"/>
      <w:r w:rsidRPr="00BA1981">
        <w:t>, N. 773.October 2017, str.8</w:t>
      </w:r>
    </w:p>
  </w:footnote>
  <w:footnote w:id="57">
    <w:p w14:paraId="4A4EB7F6" w14:textId="7F71535C" w:rsidR="005F376C" w:rsidRDefault="005F376C">
      <w:pPr>
        <w:pStyle w:val="Textpoznpodarou"/>
      </w:pPr>
      <w:r>
        <w:rPr>
          <w:rStyle w:val="Znakapoznpodarou"/>
        </w:rPr>
        <w:footnoteRef/>
      </w:r>
      <w:r>
        <w:t xml:space="preserve"> </w:t>
      </w:r>
      <w:r w:rsidR="00AE5A9F">
        <w:t xml:space="preserve">OECD, </w:t>
      </w:r>
      <w:proofErr w:type="spellStart"/>
      <w:r w:rsidR="00AE5A9F" w:rsidRPr="00AE5A9F">
        <w:t>European</w:t>
      </w:r>
      <w:proofErr w:type="spellEnd"/>
      <w:r w:rsidR="00AE5A9F" w:rsidRPr="00AE5A9F">
        <w:t xml:space="preserve"> </w:t>
      </w:r>
      <w:proofErr w:type="spellStart"/>
      <w:r w:rsidR="00AE5A9F" w:rsidRPr="00AE5A9F">
        <w:t>Observatory</w:t>
      </w:r>
      <w:proofErr w:type="spellEnd"/>
      <w:r w:rsidR="00AE5A9F" w:rsidRPr="00AE5A9F">
        <w:t xml:space="preserve"> on </w:t>
      </w:r>
      <w:proofErr w:type="spellStart"/>
      <w:r w:rsidR="00AE5A9F" w:rsidRPr="00AE5A9F">
        <w:t>Health</w:t>
      </w:r>
      <w:proofErr w:type="spellEnd"/>
      <w:r w:rsidR="00AE5A9F" w:rsidRPr="00AE5A9F">
        <w:t xml:space="preserve"> Systems and </w:t>
      </w:r>
      <w:proofErr w:type="spellStart"/>
      <w:r w:rsidR="00AE5A9F" w:rsidRPr="00AE5A9F">
        <w:t>Policies</w:t>
      </w:r>
      <w:proofErr w:type="spellEnd"/>
      <w:r w:rsidR="00AE5A9F">
        <w:t xml:space="preserve">. State of </w:t>
      </w:r>
      <w:proofErr w:type="spellStart"/>
      <w:r w:rsidR="00AE5A9F">
        <w:t>Health</w:t>
      </w:r>
      <w:proofErr w:type="spellEnd"/>
      <w:r w:rsidR="00AE5A9F">
        <w:t xml:space="preserve"> in </w:t>
      </w:r>
      <w:proofErr w:type="spellStart"/>
      <w:r w:rsidR="00AE5A9F">
        <w:t>the</w:t>
      </w:r>
      <w:proofErr w:type="spellEnd"/>
      <w:r w:rsidR="00AE5A9F">
        <w:t xml:space="preserve"> EU. </w:t>
      </w:r>
      <w:proofErr w:type="spellStart"/>
      <w:r w:rsidR="00AE5A9F">
        <w:t>Slovnesko</w:t>
      </w:r>
      <w:proofErr w:type="spellEnd"/>
      <w:r w:rsidR="00AE5A9F">
        <w:t xml:space="preserve">: Zdravotný profil krajiny 2017. Dostupné na: </w:t>
      </w:r>
      <w:hyperlink r:id="rId6" w:history="1">
        <w:r w:rsidR="00AE5A9F" w:rsidRPr="00AE5A9F">
          <w:rPr>
            <w:rStyle w:val="Hypertextovodkaz"/>
          </w:rPr>
          <w:t>https://ec.europa.eu/health/sites/health/files/state/docs/chp_sk_slovak</w:t>
        </w:r>
        <w:r w:rsidR="00AE5A9F" w:rsidRPr="00AE5A9F">
          <w:rPr>
            <w:rStyle w:val="Hypertextovodkaz"/>
          </w:rPr>
          <w:t>.</w:t>
        </w:r>
        <w:r w:rsidR="00AE5A9F" w:rsidRPr="00AE5A9F">
          <w:rPr>
            <w:rStyle w:val="Hypertextovodkaz"/>
          </w:rPr>
          <w:t>pdf</w:t>
        </w:r>
      </w:hyperlink>
      <w:r w:rsidR="00AE5A9F" w:rsidRPr="00AE5A9F">
        <w:t>.</w:t>
      </w:r>
      <w:r w:rsidR="00AE5A9F">
        <w:t xml:space="preserve"> </w:t>
      </w:r>
    </w:p>
  </w:footnote>
  <w:footnote w:id="58">
    <w:p w14:paraId="0D701F4B" w14:textId="26B5B890" w:rsidR="005F376C" w:rsidRDefault="005F376C">
      <w:pPr>
        <w:pStyle w:val="Textpoznpodarou"/>
      </w:pPr>
      <w:r>
        <w:rPr>
          <w:rStyle w:val="Znakapoznpodarou"/>
        </w:rPr>
        <w:footnoteRef/>
      </w:r>
      <w:r w:rsidR="00AE5A9F">
        <w:t xml:space="preserve"> </w:t>
      </w:r>
      <w:r w:rsidR="00AE5A9F">
        <w:t xml:space="preserve">WHO, </w:t>
      </w:r>
      <w:proofErr w:type="spellStart"/>
      <w:r w:rsidR="00AE5A9F">
        <w:t>Europe</w:t>
      </w:r>
      <w:proofErr w:type="spellEnd"/>
      <w:r w:rsidR="00AE5A9F">
        <w:t xml:space="preserve">. </w:t>
      </w:r>
      <w:proofErr w:type="spellStart"/>
      <w:r w:rsidR="00AE5A9F" w:rsidRPr="00AE5A9F">
        <w:t>The</w:t>
      </w:r>
      <w:proofErr w:type="spellEnd"/>
      <w:r w:rsidR="00AE5A9F" w:rsidRPr="00AE5A9F">
        <w:t xml:space="preserve"> 10 </w:t>
      </w:r>
      <w:proofErr w:type="spellStart"/>
      <w:r w:rsidR="00AE5A9F" w:rsidRPr="00AE5A9F">
        <w:t>Essential</w:t>
      </w:r>
      <w:proofErr w:type="spellEnd"/>
      <w:r w:rsidR="00AE5A9F" w:rsidRPr="00AE5A9F">
        <w:t xml:space="preserve"> </w:t>
      </w:r>
      <w:proofErr w:type="spellStart"/>
      <w:r w:rsidR="00AE5A9F" w:rsidRPr="00AE5A9F">
        <w:t>Public</w:t>
      </w:r>
      <w:proofErr w:type="spellEnd"/>
      <w:r w:rsidR="00AE5A9F" w:rsidRPr="00AE5A9F">
        <w:t xml:space="preserve"> </w:t>
      </w:r>
      <w:proofErr w:type="spellStart"/>
      <w:r w:rsidR="00AE5A9F" w:rsidRPr="00AE5A9F">
        <w:t>Health</w:t>
      </w:r>
      <w:proofErr w:type="spellEnd"/>
      <w:r w:rsidR="00AE5A9F" w:rsidRPr="00AE5A9F">
        <w:t xml:space="preserve"> </w:t>
      </w:r>
      <w:proofErr w:type="spellStart"/>
      <w:r w:rsidR="00AE5A9F" w:rsidRPr="00AE5A9F">
        <w:t>Operations</w:t>
      </w:r>
      <w:proofErr w:type="spellEnd"/>
      <w:r w:rsidR="00AE5A9F">
        <w:t xml:space="preserve">. Dostupné na: </w:t>
      </w:r>
      <w:hyperlink r:id="rId7" w:history="1">
        <w:r w:rsidR="00AE5A9F" w:rsidRPr="00AE5A9F">
          <w:rPr>
            <w:rStyle w:val="Hypertextovodkaz"/>
          </w:rPr>
          <w:t>http://www.euro.who.int/en/health-topics/Health-systems/public-health-services/policy/the-10-essential-public-health-o</w:t>
        </w:r>
        <w:r w:rsidR="00AE5A9F" w:rsidRPr="00AE5A9F">
          <w:rPr>
            <w:rStyle w:val="Hypertextovodkaz"/>
          </w:rPr>
          <w:t>p</w:t>
        </w:r>
        <w:r w:rsidR="00AE5A9F" w:rsidRPr="00AE5A9F">
          <w:rPr>
            <w:rStyle w:val="Hypertextovodkaz"/>
          </w:rPr>
          <w:t>erations</w:t>
        </w:r>
      </w:hyperlink>
      <w:r w:rsidR="00AE5A9F" w:rsidRPr="00AE5A9F">
        <w:t>.</w:t>
      </w:r>
      <w:r w:rsidR="00AE5A9F">
        <w:t xml:space="preserve"> </w:t>
      </w:r>
    </w:p>
  </w:footnote>
  <w:footnote w:id="59">
    <w:p w14:paraId="64E670F1" w14:textId="422850E5" w:rsidR="005F376C" w:rsidRDefault="005F376C" w:rsidP="007160B3">
      <w:pPr>
        <w:pStyle w:val="Textpoznpodarou"/>
      </w:pPr>
      <w:r>
        <w:rPr>
          <w:rStyle w:val="Znakapoznpodarou"/>
        </w:rPr>
        <w:footnoteRef/>
      </w:r>
      <w:r>
        <w:t xml:space="preserve"> </w:t>
      </w:r>
      <w:proofErr w:type="spellStart"/>
      <w:r>
        <w:t>Effort</w:t>
      </w:r>
      <w:proofErr w:type="spellEnd"/>
      <w:r>
        <w:t xml:space="preserve"> </w:t>
      </w:r>
      <w:proofErr w:type="spellStart"/>
      <w:r>
        <w:t>Sharing</w:t>
      </w:r>
      <w:proofErr w:type="spellEnd"/>
      <w:r>
        <w:t xml:space="preserve"> </w:t>
      </w:r>
      <w:proofErr w:type="spellStart"/>
      <w:r>
        <w:t>Decision</w:t>
      </w:r>
      <w:proofErr w:type="spellEnd"/>
    </w:p>
  </w:footnote>
  <w:footnote w:id="60">
    <w:p w14:paraId="717A75C5" w14:textId="2A62F6F0" w:rsidR="005F376C" w:rsidRDefault="005F376C">
      <w:pPr>
        <w:pStyle w:val="Textpoznpodarou"/>
      </w:pPr>
      <w:r>
        <w:rPr>
          <w:rStyle w:val="Znakapoznpodarou"/>
        </w:rPr>
        <w:footnoteRef/>
      </w:r>
      <w:r>
        <w:t xml:space="preserve"> </w:t>
      </w:r>
      <w:proofErr w:type="spellStart"/>
      <w:r>
        <w:t>L</w:t>
      </w:r>
      <w:r w:rsidRPr="007160B3">
        <w:t>and</w:t>
      </w:r>
      <w:proofErr w:type="spellEnd"/>
      <w:r w:rsidRPr="007160B3">
        <w:t xml:space="preserve"> </w:t>
      </w:r>
      <w:proofErr w:type="spellStart"/>
      <w:r w:rsidRPr="007160B3">
        <w:t>use</w:t>
      </w:r>
      <w:proofErr w:type="spellEnd"/>
      <w:r w:rsidRPr="007160B3">
        <w:t xml:space="preserve">, </w:t>
      </w:r>
      <w:proofErr w:type="spellStart"/>
      <w:r w:rsidRPr="007160B3">
        <w:t>land</w:t>
      </w:r>
      <w:proofErr w:type="spellEnd"/>
      <w:r w:rsidRPr="007160B3">
        <w:t xml:space="preserve"> </w:t>
      </w:r>
      <w:proofErr w:type="spellStart"/>
      <w:r w:rsidRPr="007160B3">
        <w:t>use</w:t>
      </w:r>
      <w:proofErr w:type="spellEnd"/>
      <w:r w:rsidRPr="007160B3">
        <w:t xml:space="preserve">-change and </w:t>
      </w:r>
      <w:proofErr w:type="spellStart"/>
      <w:r w:rsidRPr="007160B3">
        <w:t>forestry</w:t>
      </w:r>
      <w:proofErr w:type="spellEnd"/>
    </w:p>
  </w:footnote>
  <w:footnote w:id="61">
    <w:p w14:paraId="11A14FB6" w14:textId="77777777" w:rsidR="005F376C" w:rsidRDefault="005F376C" w:rsidP="00E9183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179"/>
    <w:multiLevelType w:val="hybridMultilevel"/>
    <w:tmpl w:val="5F72F1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9649F"/>
    <w:multiLevelType w:val="hybridMultilevel"/>
    <w:tmpl w:val="C756E29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A2610BC"/>
    <w:multiLevelType w:val="hybridMultilevel"/>
    <w:tmpl w:val="533A29B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9F049F"/>
    <w:multiLevelType w:val="hybridMultilevel"/>
    <w:tmpl w:val="E2A688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FE576E"/>
    <w:multiLevelType w:val="hybridMultilevel"/>
    <w:tmpl w:val="B05C467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A2D5CC2"/>
    <w:multiLevelType w:val="hybridMultilevel"/>
    <w:tmpl w:val="B6FEE6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A501F97"/>
    <w:multiLevelType w:val="hybridMultilevel"/>
    <w:tmpl w:val="56D2530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1AEC7BAA"/>
    <w:multiLevelType w:val="hybridMultilevel"/>
    <w:tmpl w:val="1ADA8E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C910B50"/>
    <w:multiLevelType w:val="hybridMultilevel"/>
    <w:tmpl w:val="3F58703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1E2E77D9"/>
    <w:multiLevelType w:val="hybridMultilevel"/>
    <w:tmpl w:val="FF92347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21FC675B"/>
    <w:multiLevelType w:val="hybridMultilevel"/>
    <w:tmpl w:val="A6FA4E2C"/>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242D74"/>
    <w:multiLevelType w:val="hybridMultilevel"/>
    <w:tmpl w:val="015EE8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CD2241D"/>
    <w:multiLevelType w:val="multilevel"/>
    <w:tmpl w:val="C10C9294"/>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334380"/>
    <w:multiLevelType w:val="hybridMultilevel"/>
    <w:tmpl w:val="E47E35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92E1E"/>
    <w:multiLevelType w:val="hybridMultilevel"/>
    <w:tmpl w:val="C06C768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95A6A1C"/>
    <w:multiLevelType w:val="hybridMultilevel"/>
    <w:tmpl w:val="214CA8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0E7B85"/>
    <w:multiLevelType w:val="hybridMultilevel"/>
    <w:tmpl w:val="DE1EB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A65EC"/>
    <w:multiLevelType w:val="hybridMultilevel"/>
    <w:tmpl w:val="3ACE5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401636"/>
    <w:multiLevelType w:val="hybridMultilevel"/>
    <w:tmpl w:val="932A44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8F35002"/>
    <w:multiLevelType w:val="hybridMultilevel"/>
    <w:tmpl w:val="57C473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4E70598A"/>
    <w:multiLevelType w:val="hybridMultilevel"/>
    <w:tmpl w:val="ACB2A28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AFD6EAE"/>
    <w:multiLevelType w:val="hybridMultilevel"/>
    <w:tmpl w:val="01F0D44C"/>
    <w:lvl w:ilvl="0" w:tplc="0809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980DB6"/>
    <w:multiLevelType w:val="hybridMultilevel"/>
    <w:tmpl w:val="B23AF844"/>
    <w:lvl w:ilvl="0" w:tplc="BBCAB0FE">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3" w15:restartNumberingAfterBreak="0">
    <w:nsid w:val="63877F0B"/>
    <w:multiLevelType w:val="multilevel"/>
    <w:tmpl w:val="2AD69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AE75F61"/>
    <w:multiLevelType w:val="multilevel"/>
    <w:tmpl w:val="A9E663B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15:restartNumberingAfterBreak="0">
    <w:nsid w:val="6BF60C60"/>
    <w:multiLevelType w:val="multilevel"/>
    <w:tmpl w:val="A9E663B4"/>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6" w15:restartNumberingAfterBreak="0">
    <w:nsid w:val="6DE66C95"/>
    <w:multiLevelType w:val="hybridMultilevel"/>
    <w:tmpl w:val="D31C6D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707B7D88"/>
    <w:multiLevelType w:val="hybridMultilevel"/>
    <w:tmpl w:val="5C5CC8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14239F4"/>
    <w:multiLevelType w:val="hybridMultilevel"/>
    <w:tmpl w:val="FF1EAA3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B874C7"/>
    <w:multiLevelType w:val="hybridMultilevel"/>
    <w:tmpl w:val="F3BC2F2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4F10384"/>
    <w:multiLevelType w:val="hybridMultilevel"/>
    <w:tmpl w:val="32740C88"/>
    <w:lvl w:ilvl="0" w:tplc="041B000B">
      <w:start w:val="1"/>
      <w:numFmt w:val="bullet"/>
      <w:lvlText w:val=""/>
      <w:lvlJc w:val="left"/>
      <w:pPr>
        <w:ind w:left="360" w:hanging="360"/>
      </w:pPr>
      <w:rPr>
        <w:rFonts w:ascii="Wingdings" w:hAnsi="Wingding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77E42B41"/>
    <w:multiLevelType w:val="hybridMultilevel"/>
    <w:tmpl w:val="4B6016E2"/>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28"/>
  </w:num>
  <w:num w:numId="4">
    <w:abstractNumId w:val="6"/>
  </w:num>
  <w:num w:numId="5">
    <w:abstractNumId w:val="14"/>
  </w:num>
  <w:num w:numId="6">
    <w:abstractNumId w:val="4"/>
  </w:num>
  <w:num w:numId="7">
    <w:abstractNumId w:val="16"/>
  </w:num>
  <w:num w:numId="8">
    <w:abstractNumId w:val="12"/>
  </w:num>
  <w:num w:numId="9">
    <w:abstractNumId w:val="18"/>
  </w:num>
  <w:num w:numId="10">
    <w:abstractNumId w:val="10"/>
  </w:num>
  <w:num w:numId="11">
    <w:abstractNumId w:val="27"/>
  </w:num>
  <w:num w:numId="12">
    <w:abstractNumId w:val="23"/>
  </w:num>
  <w:num w:numId="13">
    <w:abstractNumId w:val="24"/>
  </w:num>
  <w:num w:numId="14">
    <w:abstractNumId w:val="19"/>
  </w:num>
  <w:num w:numId="15">
    <w:abstractNumId w:val="25"/>
  </w:num>
  <w:num w:numId="16">
    <w:abstractNumId w:val="17"/>
  </w:num>
  <w:num w:numId="17">
    <w:abstractNumId w:val="26"/>
  </w:num>
  <w:num w:numId="18">
    <w:abstractNumId w:val="0"/>
  </w:num>
  <w:num w:numId="19">
    <w:abstractNumId w:val="29"/>
  </w:num>
  <w:num w:numId="20">
    <w:abstractNumId w:val="22"/>
  </w:num>
  <w:num w:numId="21">
    <w:abstractNumId w:val="1"/>
  </w:num>
  <w:num w:numId="22">
    <w:abstractNumId w:val="8"/>
  </w:num>
  <w:num w:numId="23">
    <w:abstractNumId w:val="15"/>
  </w:num>
  <w:num w:numId="24">
    <w:abstractNumId w:val="5"/>
  </w:num>
  <w:num w:numId="25">
    <w:abstractNumId w:val="2"/>
  </w:num>
  <w:num w:numId="26">
    <w:abstractNumId w:val="31"/>
  </w:num>
  <w:num w:numId="27">
    <w:abstractNumId w:val="9"/>
  </w:num>
  <w:num w:numId="28">
    <w:abstractNumId w:val="11"/>
  </w:num>
  <w:num w:numId="29">
    <w:abstractNumId w:val="30"/>
  </w:num>
  <w:num w:numId="30">
    <w:abstractNumId w:val="3"/>
  </w:num>
  <w:num w:numId="31">
    <w:abstractNumId w:val="20"/>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619"/>
    <w:rsid w:val="00007B23"/>
    <w:rsid w:val="00010F43"/>
    <w:rsid w:val="00014034"/>
    <w:rsid w:val="000166D1"/>
    <w:rsid w:val="00024B70"/>
    <w:rsid w:val="00025D67"/>
    <w:rsid w:val="00027B89"/>
    <w:rsid w:val="000550B0"/>
    <w:rsid w:val="000603B5"/>
    <w:rsid w:val="00063589"/>
    <w:rsid w:val="00075376"/>
    <w:rsid w:val="00080499"/>
    <w:rsid w:val="00085852"/>
    <w:rsid w:val="00085B2C"/>
    <w:rsid w:val="000A3B89"/>
    <w:rsid w:val="000B3AA4"/>
    <w:rsid w:val="000B46A3"/>
    <w:rsid w:val="000B4924"/>
    <w:rsid w:val="000B62E2"/>
    <w:rsid w:val="000D1A84"/>
    <w:rsid w:val="000F77EB"/>
    <w:rsid w:val="001004F7"/>
    <w:rsid w:val="00104CB5"/>
    <w:rsid w:val="00105E7A"/>
    <w:rsid w:val="001060F9"/>
    <w:rsid w:val="00114995"/>
    <w:rsid w:val="00132BE0"/>
    <w:rsid w:val="0016177A"/>
    <w:rsid w:val="0017159B"/>
    <w:rsid w:val="00171953"/>
    <w:rsid w:val="001719E1"/>
    <w:rsid w:val="00181EEF"/>
    <w:rsid w:val="00193915"/>
    <w:rsid w:val="001A1571"/>
    <w:rsid w:val="001A1BF8"/>
    <w:rsid w:val="001A3253"/>
    <w:rsid w:val="001B120B"/>
    <w:rsid w:val="001C2A4B"/>
    <w:rsid w:val="001D3773"/>
    <w:rsid w:val="001D650B"/>
    <w:rsid w:val="001E10E4"/>
    <w:rsid w:val="00200D02"/>
    <w:rsid w:val="00204F4B"/>
    <w:rsid w:val="002172B7"/>
    <w:rsid w:val="0022338B"/>
    <w:rsid w:val="00230454"/>
    <w:rsid w:val="00234300"/>
    <w:rsid w:val="0023512E"/>
    <w:rsid w:val="002514A6"/>
    <w:rsid w:val="0028155A"/>
    <w:rsid w:val="00294E62"/>
    <w:rsid w:val="00295759"/>
    <w:rsid w:val="002972E1"/>
    <w:rsid w:val="002A67B7"/>
    <w:rsid w:val="002C25D6"/>
    <w:rsid w:val="002C563D"/>
    <w:rsid w:val="002E3E94"/>
    <w:rsid w:val="002E59B5"/>
    <w:rsid w:val="002F3456"/>
    <w:rsid w:val="002F68CB"/>
    <w:rsid w:val="00307257"/>
    <w:rsid w:val="003119F7"/>
    <w:rsid w:val="00327E5F"/>
    <w:rsid w:val="00332081"/>
    <w:rsid w:val="00332AC6"/>
    <w:rsid w:val="00337AC2"/>
    <w:rsid w:val="003628B4"/>
    <w:rsid w:val="00380B7C"/>
    <w:rsid w:val="003833A4"/>
    <w:rsid w:val="00383DB5"/>
    <w:rsid w:val="003847DF"/>
    <w:rsid w:val="003875AC"/>
    <w:rsid w:val="003A5436"/>
    <w:rsid w:val="003B2CE9"/>
    <w:rsid w:val="003B3619"/>
    <w:rsid w:val="003B366E"/>
    <w:rsid w:val="003C02B1"/>
    <w:rsid w:val="003C171D"/>
    <w:rsid w:val="003C2D4B"/>
    <w:rsid w:val="003D7DCF"/>
    <w:rsid w:val="003F0073"/>
    <w:rsid w:val="00401327"/>
    <w:rsid w:val="00422352"/>
    <w:rsid w:val="00432587"/>
    <w:rsid w:val="00434297"/>
    <w:rsid w:val="00437610"/>
    <w:rsid w:val="004479B5"/>
    <w:rsid w:val="004542AD"/>
    <w:rsid w:val="004556AC"/>
    <w:rsid w:val="004635B8"/>
    <w:rsid w:val="0047245C"/>
    <w:rsid w:val="00480B8C"/>
    <w:rsid w:val="004974C6"/>
    <w:rsid w:val="004A5D36"/>
    <w:rsid w:val="004A6345"/>
    <w:rsid w:val="004E3CC2"/>
    <w:rsid w:val="00523333"/>
    <w:rsid w:val="00525C70"/>
    <w:rsid w:val="00527FF5"/>
    <w:rsid w:val="00540E65"/>
    <w:rsid w:val="005414C6"/>
    <w:rsid w:val="005477B1"/>
    <w:rsid w:val="00552B24"/>
    <w:rsid w:val="00555D1B"/>
    <w:rsid w:val="005571F7"/>
    <w:rsid w:val="00557F53"/>
    <w:rsid w:val="00570EC2"/>
    <w:rsid w:val="00594EBB"/>
    <w:rsid w:val="0059574A"/>
    <w:rsid w:val="005C3916"/>
    <w:rsid w:val="005C661A"/>
    <w:rsid w:val="005D2F35"/>
    <w:rsid w:val="005E7A06"/>
    <w:rsid w:val="005F2A46"/>
    <w:rsid w:val="005F376C"/>
    <w:rsid w:val="005F45C1"/>
    <w:rsid w:val="005F6F0C"/>
    <w:rsid w:val="00603F25"/>
    <w:rsid w:val="00611B5F"/>
    <w:rsid w:val="00631356"/>
    <w:rsid w:val="00664F42"/>
    <w:rsid w:val="0066741C"/>
    <w:rsid w:val="006724CA"/>
    <w:rsid w:val="00691961"/>
    <w:rsid w:val="006A1F8A"/>
    <w:rsid w:val="006A23D0"/>
    <w:rsid w:val="006A5192"/>
    <w:rsid w:val="006A61EB"/>
    <w:rsid w:val="006A6D4B"/>
    <w:rsid w:val="006C6C49"/>
    <w:rsid w:val="006D388E"/>
    <w:rsid w:val="006E0994"/>
    <w:rsid w:val="006E2E8C"/>
    <w:rsid w:val="006E47E2"/>
    <w:rsid w:val="006E4E03"/>
    <w:rsid w:val="006E6A41"/>
    <w:rsid w:val="006F69D3"/>
    <w:rsid w:val="00715F57"/>
    <w:rsid w:val="007160B3"/>
    <w:rsid w:val="007201D7"/>
    <w:rsid w:val="00730990"/>
    <w:rsid w:val="00736B22"/>
    <w:rsid w:val="00736B3F"/>
    <w:rsid w:val="0074238E"/>
    <w:rsid w:val="007506AC"/>
    <w:rsid w:val="00753EDD"/>
    <w:rsid w:val="007553EE"/>
    <w:rsid w:val="007564DC"/>
    <w:rsid w:val="00775731"/>
    <w:rsid w:val="00775B20"/>
    <w:rsid w:val="00786EB4"/>
    <w:rsid w:val="00791E3B"/>
    <w:rsid w:val="007A6FC1"/>
    <w:rsid w:val="007B656D"/>
    <w:rsid w:val="007C7656"/>
    <w:rsid w:val="007D5414"/>
    <w:rsid w:val="007D6262"/>
    <w:rsid w:val="007F79D3"/>
    <w:rsid w:val="00800B67"/>
    <w:rsid w:val="008030E2"/>
    <w:rsid w:val="00820CB1"/>
    <w:rsid w:val="00824B1C"/>
    <w:rsid w:val="00826F69"/>
    <w:rsid w:val="00846E51"/>
    <w:rsid w:val="008479DB"/>
    <w:rsid w:val="008553A9"/>
    <w:rsid w:val="00874D26"/>
    <w:rsid w:val="008809C4"/>
    <w:rsid w:val="00884A76"/>
    <w:rsid w:val="0088753E"/>
    <w:rsid w:val="00891D5C"/>
    <w:rsid w:val="008A2C13"/>
    <w:rsid w:val="008A507C"/>
    <w:rsid w:val="008C0D74"/>
    <w:rsid w:val="008C1084"/>
    <w:rsid w:val="008C40B2"/>
    <w:rsid w:val="008D16B7"/>
    <w:rsid w:val="008E0A5D"/>
    <w:rsid w:val="008F295E"/>
    <w:rsid w:val="008F479E"/>
    <w:rsid w:val="0091767A"/>
    <w:rsid w:val="00936F5E"/>
    <w:rsid w:val="00940696"/>
    <w:rsid w:val="00953FA8"/>
    <w:rsid w:val="00957F77"/>
    <w:rsid w:val="009726DC"/>
    <w:rsid w:val="00972A02"/>
    <w:rsid w:val="00976629"/>
    <w:rsid w:val="0098508A"/>
    <w:rsid w:val="00986A72"/>
    <w:rsid w:val="00987043"/>
    <w:rsid w:val="009960A5"/>
    <w:rsid w:val="009B246F"/>
    <w:rsid w:val="009C059F"/>
    <w:rsid w:val="009D4E9C"/>
    <w:rsid w:val="009E5A1B"/>
    <w:rsid w:val="009F0794"/>
    <w:rsid w:val="009F6BCF"/>
    <w:rsid w:val="00A015C3"/>
    <w:rsid w:val="00A27A47"/>
    <w:rsid w:val="00A32DC5"/>
    <w:rsid w:val="00A35E39"/>
    <w:rsid w:val="00A375C1"/>
    <w:rsid w:val="00A4280B"/>
    <w:rsid w:val="00A53133"/>
    <w:rsid w:val="00A56081"/>
    <w:rsid w:val="00A62A1E"/>
    <w:rsid w:val="00A653FE"/>
    <w:rsid w:val="00A92592"/>
    <w:rsid w:val="00AA43DF"/>
    <w:rsid w:val="00AB58EE"/>
    <w:rsid w:val="00AC1332"/>
    <w:rsid w:val="00AC78DF"/>
    <w:rsid w:val="00AD2DE9"/>
    <w:rsid w:val="00AD4522"/>
    <w:rsid w:val="00AD555E"/>
    <w:rsid w:val="00AD5AF4"/>
    <w:rsid w:val="00AE5A9F"/>
    <w:rsid w:val="00AE7517"/>
    <w:rsid w:val="00AF7929"/>
    <w:rsid w:val="00B03DF1"/>
    <w:rsid w:val="00B053E1"/>
    <w:rsid w:val="00B07B0E"/>
    <w:rsid w:val="00B174B3"/>
    <w:rsid w:val="00B17E59"/>
    <w:rsid w:val="00B26EDE"/>
    <w:rsid w:val="00B31AC6"/>
    <w:rsid w:val="00B4138F"/>
    <w:rsid w:val="00B41D24"/>
    <w:rsid w:val="00B43513"/>
    <w:rsid w:val="00B459D9"/>
    <w:rsid w:val="00B468F4"/>
    <w:rsid w:val="00B51A53"/>
    <w:rsid w:val="00B5210F"/>
    <w:rsid w:val="00B61EAC"/>
    <w:rsid w:val="00B61EF4"/>
    <w:rsid w:val="00B6415B"/>
    <w:rsid w:val="00B72FA9"/>
    <w:rsid w:val="00B80E4B"/>
    <w:rsid w:val="00B812B4"/>
    <w:rsid w:val="00B85B89"/>
    <w:rsid w:val="00B95261"/>
    <w:rsid w:val="00B96BB2"/>
    <w:rsid w:val="00BA1981"/>
    <w:rsid w:val="00BA2ED5"/>
    <w:rsid w:val="00BC6329"/>
    <w:rsid w:val="00BD456F"/>
    <w:rsid w:val="00BE16F8"/>
    <w:rsid w:val="00BE26F1"/>
    <w:rsid w:val="00BE5405"/>
    <w:rsid w:val="00BF4916"/>
    <w:rsid w:val="00C11BA3"/>
    <w:rsid w:val="00C20D5A"/>
    <w:rsid w:val="00C216E9"/>
    <w:rsid w:val="00C24E6D"/>
    <w:rsid w:val="00C346B4"/>
    <w:rsid w:val="00C34E6B"/>
    <w:rsid w:val="00C50448"/>
    <w:rsid w:val="00C7646F"/>
    <w:rsid w:val="00C931FB"/>
    <w:rsid w:val="00CA3DB4"/>
    <w:rsid w:val="00CB456C"/>
    <w:rsid w:val="00CB662E"/>
    <w:rsid w:val="00CB761F"/>
    <w:rsid w:val="00CC12C3"/>
    <w:rsid w:val="00CD0F83"/>
    <w:rsid w:val="00CD52DB"/>
    <w:rsid w:val="00CE5DF5"/>
    <w:rsid w:val="00CF5EBE"/>
    <w:rsid w:val="00D2437C"/>
    <w:rsid w:val="00D42286"/>
    <w:rsid w:val="00D45C69"/>
    <w:rsid w:val="00D81429"/>
    <w:rsid w:val="00D95C22"/>
    <w:rsid w:val="00DB159B"/>
    <w:rsid w:val="00DC1D88"/>
    <w:rsid w:val="00DD293B"/>
    <w:rsid w:val="00DD401A"/>
    <w:rsid w:val="00DF0117"/>
    <w:rsid w:val="00DF02C4"/>
    <w:rsid w:val="00E07305"/>
    <w:rsid w:val="00E10EE1"/>
    <w:rsid w:val="00E11740"/>
    <w:rsid w:val="00E24F2E"/>
    <w:rsid w:val="00E25759"/>
    <w:rsid w:val="00E3178A"/>
    <w:rsid w:val="00E323BD"/>
    <w:rsid w:val="00E36694"/>
    <w:rsid w:val="00E36B81"/>
    <w:rsid w:val="00E56C74"/>
    <w:rsid w:val="00E574B1"/>
    <w:rsid w:val="00E6350E"/>
    <w:rsid w:val="00E67367"/>
    <w:rsid w:val="00E72746"/>
    <w:rsid w:val="00E83DA3"/>
    <w:rsid w:val="00E841B1"/>
    <w:rsid w:val="00E874E9"/>
    <w:rsid w:val="00E903BD"/>
    <w:rsid w:val="00E91833"/>
    <w:rsid w:val="00EC009D"/>
    <w:rsid w:val="00EC4AE0"/>
    <w:rsid w:val="00EC7205"/>
    <w:rsid w:val="00EE3FEA"/>
    <w:rsid w:val="00EF1224"/>
    <w:rsid w:val="00EF41D9"/>
    <w:rsid w:val="00EF4C19"/>
    <w:rsid w:val="00F11AD0"/>
    <w:rsid w:val="00F136D2"/>
    <w:rsid w:val="00F2424A"/>
    <w:rsid w:val="00F24ACA"/>
    <w:rsid w:val="00F3414D"/>
    <w:rsid w:val="00F3507B"/>
    <w:rsid w:val="00F41BB3"/>
    <w:rsid w:val="00F43C34"/>
    <w:rsid w:val="00F46AB8"/>
    <w:rsid w:val="00F51192"/>
    <w:rsid w:val="00F66899"/>
    <w:rsid w:val="00F72619"/>
    <w:rsid w:val="00F77211"/>
    <w:rsid w:val="00F93700"/>
    <w:rsid w:val="00FA33A2"/>
    <w:rsid w:val="00FA36BD"/>
    <w:rsid w:val="00FB42D9"/>
    <w:rsid w:val="00FC0C48"/>
    <w:rsid w:val="00FC46F0"/>
    <w:rsid w:val="00FE419F"/>
    <w:rsid w:val="00FF55D1"/>
    <w:rsid w:val="00FF5834"/>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6AB5"/>
  <w15:docId w15:val="{CC5B2AEB-E1C2-4298-A0FC-475E65B52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4B70"/>
    <w:pPr>
      <w:spacing w:after="120"/>
      <w:jc w:val="both"/>
    </w:pPr>
    <w:rPr>
      <w:rFonts w:ascii="Times New Roman" w:eastAsia="Times New Roman" w:hAnsi="Times New Roman" w:cs="Times New Roman"/>
      <w:bCs/>
      <w:color w:val="000000"/>
      <w:lang w:eastAsia="en-GB"/>
    </w:rPr>
  </w:style>
  <w:style w:type="paragraph" w:styleId="Nadpis1">
    <w:name w:val="heading 1"/>
    <w:basedOn w:val="Nadpis2"/>
    <w:next w:val="Normln"/>
    <w:link w:val="Nadpis1Char"/>
    <w:uiPriority w:val="9"/>
    <w:qFormat/>
    <w:rsid w:val="009B246F"/>
    <w:pPr>
      <w:outlineLvl w:val="0"/>
    </w:pPr>
    <w:rPr>
      <w:sz w:val="40"/>
      <w:szCs w:val="40"/>
    </w:rPr>
  </w:style>
  <w:style w:type="paragraph" w:styleId="Nadpis2">
    <w:name w:val="heading 2"/>
    <w:basedOn w:val="Normln"/>
    <w:next w:val="Normln"/>
    <w:link w:val="Nadpis2Char"/>
    <w:uiPriority w:val="9"/>
    <w:unhideWhenUsed/>
    <w:qFormat/>
    <w:rsid w:val="009B246F"/>
    <w:pPr>
      <w:keepNext/>
      <w:keepLines/>
      <w:spacing w:before="200" w:after="240"/>
      <w:jc w:val="center"/>
      <w:outlineLvl w:val="1"/>
    </w:pPr>
    <w:rPr>
      <w:rFonts w:ascii="Cambria" w:eastAsiaTheme="majorEastAsia" w:hAnsi="Cambria"/>
      <w:b/>
      <w:bCs w:val="0"/>
      <w:color w:val="1F4E79" w:themeColor="accent5" w:themeShade="80"/>
      <w:sz w:val="32"/>
      <w:szCs w:val="32"/>
    </w:rPr>
  </w:style>
  <w:style w:type="paragraph" w:styleId="Nadpis3">
    <w:name w:val="heading 3"/>
    <w:basedOn w:val="Normln"/>
    <w:next w:val="Normln"/>
    <w:link w:val="Nadpis3Char"/>
    <w:uiPriority w:val="9"/>
    <w:unhideWhenUsed/>
    <w:qFormat/>
    <w:rsid w:val="00715F57"/>
    <w:pPr>
      <w:keepNext/>
      <w:keepLines/>
      <w:spacing w:before="120"/>
      <w:outlineLvl w:val="2"/>
    </w:pPr>
    <w:rPr>
      <w:rFonts w:ascii="Cambria" w:eastAsiaTheme="majorEastAsia" w:hAnsi="Cambria"/>
      <w:b/>
      <w:bCs w:val="0"/>
      <w:color w:val="1F4E79" w:themeColor="accent5" w:themeShade="8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B246F"/>
    <w:rPr>
      <w:rFonts w:ascii="Cambria" w:eastAsiaTheme="majorEastAsia" w:hAnsi="Cambria" w:cs="Times New Roman"/>
      <w:b/>
      <w:color w:val="1F4E79" w:themeColor="accent5" w:themeShade="80"/>
      <w:sz w:val="40"/>
      <w:szCs w:val="40"/>
      <w:shd w:val="clear" w:color="auto" w:fill="FFFFFF"/>
      <w:lang w:eastAsia="en-GB"/>
    </w:rPr>
  </w:style>
  <w:style w:type="paragraph" w:styleId="Odstavecseseznamem">
    <w:name w:val="List Paragraph"/>
    <w:aliases w:val="body,Odsek zoznamu2"/>
    <w:basedOn w:val="Normln"/>
    <w:link w:val="OdstavecseseznamemChar"/>
    <w:uiPriority w:val="34"/>
    <w:qFormat/>
    <w:rsid w:val="00E841B1"/>
    <w:pPr>
      <w:ind w:left="720"/>
      <w:contextualSpacing/>
    </w:pPr>
  </w:style>
  <w:style w:type="table" w:styleId="Mkatabulky">
    <w:name w:val="Table Grid"/>
    <w:basedOn w:val="Normlntabulka"/>
    <w:uiPriority w:val="39"/>
    <w:rsid w:val="0080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E0730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07305"/>
    <w:rPr>
      <w:rFonts w:ascii="Segoe UI" w:hAnsi="Segoe UI" w:cs="Segoe UI"/>
      <w:sz w:val="18"/>
      <w:szCs w:val="18"/>
    </w:rPr>
  </w:style>
  <w:style w:type="character" w:styleId="Hypertextovodkaz">
    <w:name w:val="Hyperlink"/>
    <w:basedOn w:val="Standardnpsmoodstavce"/>
    <w:uiPriority w:val="99"/>
    <w:unhideWhenUsed/>
    <w:rsid w:val="001719E1"/>
    <w:rPr>
      <w:color w:val="0563C1" w:themeColor="hyperlink"/>
      <w:u w:val="single"/>
    </w:rPr>
  </w:style>
  <w:style w:type="character" w:customStyle="1" w:styleId="Nadpis2Char">
    <w:name w:val="Nadpis 2 Char"/>
    <w:basedOn w:val="Standardnpsmoodstavce"/>
    <w:link w:val="Nadpis2"/>
    <w:uiPriority w:val="9"/>
    <w:rsid w:val="009B246F"/>
    <w:rPr>
      <w:rFonts w:ascii="Cambria" w:eastAsiaTheme="majorEastAsia" w:hAnsi="Cambria" w:cs="Times New Roman"/>
      <w:b/>
      <w:color w:val="1F4E79" w:themeColor="accent5" w:themeShade="80"/>
      <w:sz w:val="32"/>
      <w:szCs w:val="32"/>
      <w:shd w:val="clear" w:color="auto" w:fill="FFFFFF"/>
      <w:lang w:eastAsia="en-GB"/>
    </w:rPr>
  </w:style>
  <w:style w:type="character" w:customStyle="1" w:styleId="Nadpis3Char">
    <w:name w:val="Nadpis 3 Char"/>
    <w:basedOn w:val="Standardnpsmoodstavce"/>
    <w:link w:val="Nadpis3"/>
    <w:uiPriority w:val="9"/>
    <w:rsid w:val="00715F57"/>
    <w:rPr>
      <w:rFonts w:ascii="Cambria" w:eastAsiaTheme="majorEastAsia" w:hAnsi="Cambria" w:cs="Times New Roman"/>
      <w:b/>
      <w:color w:val="1F4E79" w:themeColor="accent5" w:themeShade="80"/>
      <w:shd w:val="clear" w:color="auto" w:fill="FFFFFF"/>
      <w:lang w:eastAsia="en-GB"/>
    </w:rPr>
  </w:style>
  <w:style w:type="character" w:styleId="Sledovanodkaz">
    <w:name w:val="FollowedHyperlink"/>
    <w:basedOn w:val="Standardnpsmoodstavce"/>
    <w:uiPriority w:val="99"/>
    <w:semiHidden/>
    <w:unhideWhenUsed/>
    <w:rsid w:val="00E11740"/>
    <w:rPr>
      <w:color w:val="954F72" w:themeColor="followedHyperlink"/>
      <w:u w:val="single"/>
    </w:rPr>
  </w:style>
  <w:style w:type="paragraph" w:styleId="Textpoznpodarou">
    <w:name w:val="footnote text"/>
    <w:aliases w:val="Schriftart: 9 pt,Schriftart: 10 pt,Schriftart: 8 pt,Podrozdział,Footnote,o,Footnote text,NBP,fn,WB-Fußnot,Text poznámky pod čiarou 007,_Poznámka pod čiarou,Text poznámky pod èiarou 007,Footnote Text Char2,Stinking Styles2,Char"/>
    <w:basedOn w:val="Normln"/>
    <w:link w:val="TextpoznpodarouChar"/>
    <w:uiPriority w:val="99"/>
    <w:unhideWhenUsed/>
    <w:qFormat/>
    <w:rsid w:val="00B6415B"/>
    <w:pPr>
      <w:spacing w:after="0"/>
    </w:pPr>
    <w:rPr>
      <w:sz w:val="20"/>
      <w:szCs w:val="20"/>
    </w:rPr>
  </w:style>
  <w:style w:type="character" w:customStyle="1" w:styleId="TextpoznpodarouChar">
    <w:name w:val="Text pozn. pod čarou Char"/>
    <w:aliases w:val="Schriftart: 9 pt Char,Schriftart: 10 pt Char,Schriftart: 8 pt Char,Podrozdział Char,Footnote Char,o Char,Footnote text Char,NBP Char,fn Char,WB-Fußnot Char,Text poznámky pod čiarou 007 Char,_Poznámka pod čiarou Char,Char Char"/>
    <w:basedOn w:val="Standardnpsmoodstavce"/>
    <w:link w:val="Textpoznpodarou"/>
    <w:uiPriority w:val="99"/>
    <w:rsid w:val="00B6415B"/>
    <w:rPr>
      <w:rFonts w:ascii="Times New Roman" w:eastAsia="Times New Roman" w:hAnsi="Times New Roman" w:cs="Times New Roman"/>
      <w:bCs/>
      <w:color w:val="000000"/>
      <w:sz w:val="20"/>
      <w:szCs w:val="20"/>
      <w:shd w:val="clear" w:color="auto" w:fill="FFFFFF"/>
      <w:lang w:eastAsia="en-GB"/>
    </w:rPr>
  </w:style>
  <w:style w:type="character" w:styleId="Znakapoznpodarou">
    <w:name w:val="footnote reference"/>
    <w:aliases w:val="Footnote symbol,Footnote reference number,Times 10 Point,Exposant 3 Point,Ref,de nota al pie,note TESI,SUPERS,EN Footnote text,EN Footnote Refe,Footnotes refss,Stinking Styles1,FRef ISO,PGI Fußnote Ziffer,ftref,fr"/>
    <w:basedOn w:val="Standardnpsmoodstavce"/>
    <w:uiPriority w:val="99"/>
    <w:unhideWhenUsed/>
    <w:rsid w:val="00B6415B"/>
    <w:rPr>
      <w:vertAlign w:val="superscript"/>
    </w:rPr>
  </w:style>
  <w:style w:type="paragraph" w:customStyle="1" w:styleId="Tabuka">
    <w:name w:val="Tabuľka"/>
    <w:basedOn w:val="Normln"/>
    <w:link w:val="TabukaChar"/>
    <w:qFormat/>
    <w:rsid w:val="00230454"/>
    <w:pPr>
      <w:keepNext/>
      <w:keepLines/>
      <w:spacing w:before="40" w:after="40"/>
      <w:contextualSpacing/>
      <w:jc w:val="left"/>
    </w:pPr>
    <w:rPr>
      <w:rFonts w:eastAsia="MS Mincho"/>
      <w:bCs w:val="0"/>
      <w:color w:val="auto"/>
      <w:sz w:val="20"/>
      <w:szCs w:val="20"/>
      <w:lang w:eastAsia="en-US"/>
    </w:rPr>
  </w:style>
  <w:style w:type="character" w:customStyle="1" w:styleId="TabukaChar">
    <w:name w:val="Tabuľka Char"/>
    <w:basedOn w:val="Standardnpsmoodstavce"/>
    <w:link w:val="Tabuka"/>
    <w:rsid w:val="00230454"/>
    <w:rPr>
      <w:rFonts w:ascii="Times New Roman" w:eastAsia="MS Mincho" w:hAnsi="Times New Roman" w:cs="Times New Roman"/>
      <w:sz w:val="20"/>
      <w:szCs w:val="20"/>
    </w:rPr>
  </w:style>
  <w:style w:type="character" w:customStyle="1" w:styleId="OdstavecseseznamemChar">
    <w:name w:val="Odstavec se seznamem Char"/>
    <w:aliases w:val="body Char,Odsek zoznamu2 Char"/>
    <w:link w:val="Odstavecseseznamem"/>
    <w:uiPriority w:val="99"/>
    <w:qFormat/>
    <w:locked/>
    <w:rsid w:val="00DF02C4"/>
    <w:rPr>
      <w:rFonts w:ascii="Times New Roman" w:eastAsia="Times New Roman" w:hAnsi="Times New Roman" w:cs="Times New Roman"/>
      <w:bCs/>
      <w:color w:val="000000"/>
      <w:shd w:val="clear" w:color="auto" w:fill="FFFFFF"/>
      <w:lang w:eastAsia="en-GB"/>
    </w:rPr>
  </w:style>
  <w:style w:type="paragraph" w:styleId="Nadpisobsahu">
    <w:name w:val="TOC Heading"/>
    <w:basedOn w:val="Nadpis1"/>
    <w:next w:val="Normln"/>
    <w:uiPriority w:val="39"/>
    <w:unhideWhenUsed/>
    <w:qFormat/>
    <w:rsid w:val="00957F77"/>
    <w:pPr>
      <w:spacing w:before="240" w:line="259" w:lineRule="auto"/>
      <w:jc w:val="left"/>
      <w:outlineLvl w:val="9"/>
    </w:pPr>
    <w:rPr>
      <w:rFonts w:asciiTheme="majorHAnsi" w:hAnsiTheme="majorHAnsi" w:cstheme="majorBidi"/>
      <w:b w:val="0"/>
      <w:color w:val="1F3864" w:themeColor="accent1" w:themeShade="80"/>
      <w:lang w:eastAsia="sk-SK"/>
    </w:rPr>
  </w:style>
  <w:style w:type="paragraph" w:styleId="Obsah1">
    <w:name w:val="toc 1"/>
    <w:basedOn w:val="Normln"/>
    <w:next w:val="Normln"/>
    <w:autoRedefine/>
    <w:uiPriority w:val="39"/>
    <w:unhideWhenUsed/>
    <w:rsid w:val="00957F77"/>
    <w:pPr>
      <w:spacing w:after="100"/>
    </w:pPr>
  </w:style>
  <w:style w:type="paragraph" w:styleId="Obsah3">
    <w:name w:val="toc 3"/>
    <w:basedOn w:val="Normln"/>
    <w:next w:val="Normln"/>
    <w:autoRedefine/>
    <w:uiPriority w:val="39"/>
    <w:unhideWhenUsed/>
    <w:rsid w:val="00957F77"/>
    <w:pPr>
      <w:spacing w:after="100"/>
      <w:ind w:left="480"/>
    </w:pPr>
  </w:style>
  <w:style w:type="paragraph" w:styleId="Obsah2">
    <w:name w:val="toc 2"/>
    <w:basedOn w:val="Normln"/>
    <w:next w:val="Normln"/>
    <w:autoRedefine/>
    <w:uiPriority w:val="39"/>
    <w:unhideWhenUsed/>
    <w:rsid w:val="00957F77"/>
    <w:pPr>
      <w:spacing w:after="100"/>
      <w:ind w:left="240"/>
    </w:pPr>
  </w:style>
  <w:style w:type="character" w:customStyle="1" w:styleId="hps">
    <w:name w:val="hps"/>
    <w:basedOn w:val="Standardnpsmoodstavce"/>
    <w:rsid w:val="00B26EDE"/>
  </w:style>
  <w:style w:type="paragraph" w:customStyle="1" w:styleId="Telotextu">
    <w:name w:val="Telo textu"/>
    <w:basedOn w:val="Normln"/>
    <w:rsid w:val="00730990"/>
    <w:pPr>
      <w:suppressAutoHyphens/>
      <w:spacing w:before="120" w:line="259" w:lineRule="auto"/>
    </w:pPr>
    <w:rPr>
      <w:rFonts w:ascii="Arial" w:hAnsi="Arial" w:cs="Arial"/>
      <w:bCs w:val="0"/>
      <w:color w:val="auto"/>
      <w:sz w:val="22"/>
      <w:szCs w:val="22"/>
      <w:lang w:val="en-US" w:eastAsia="en-US"/>
    </w:rPr>
  </w:style>
  <w:style w:type="paragraph" w:styleId="Titulek">
    <w:name w:val="caption"/>
    <w:basedOn w:val="Normln"/>
    <w:unhideWhenUsed/>
    <w:qFormat/>
    <w:rsid w:val="00B07B0E"/>
    <w:pPr>
      <w:suppressAutoHyphens/>
      <w:spacing w:after="160" w:line="256" w:lineRule="auto"/>
      <w:jc w:val="left"/>
    </w:pPr>
    <w:rPr>
      <w:rFonts w:ascii="Calibri" w:hAnsi="Calibri"/>
      <w:bCs w:val="0"/>
      <w:i/>
      <w:color w:val="auto"/>
      <w:sz w:val="22"/>
      <w:szCs w:val="20"/>
      <w:lang w:eastAsia="en-US"/>
    </w:rPr>
  </w:style>
  <w:style w:type="character" w:customStyle="1" w:styleId="Ukotveniepoznmkypodiarou">
    <w:name w:val="Ukotvenie poznámky pod čiarou"/>
    <w:rsid w:val="00B07B0E"/>
    <w:rPr>
      <w:vertAlign w:val="superscript"/>
    </w:rPr>
  </w:style>
  <w:style w:type="paragraph" w:styleId="Zhlav">
    <w:name w:val="header"/>
    <w:basedOn w:val="Normln"/>
    <w:link w:val="ZhlavChar"/>
    <w:uiPriority w:val="99"/>
    <w:unhideWhenUsed/>
    <w:rsid w:val="00557F53"/>
    <w:pPr>
      <w:tabs>
        <w:tab w:val="center" w:pos="4536"/>
        <w:tab w:val="right" w:pos="9072"/>
      </w:tabs>
      <w:spacing w:after="0"/>
    </w:pPr>
  </w:style>
  <w:style w:type="character" w:customStyle="1" w:styleId="ZhlavChar">
    <w:name w:val="Záhlaví Char"/>
    <w:basedOn w:val="Standardnpsmoodstavce"/>
    <w:link w:val="Zhlav"/>
    <w:uiPriority w:val="99"/>
    <w:rsid w:val="00557F53"/>
    <w:rPr>
      <w:rFonts w:ascii="Times New Roman" w:eastAsia="Times New Roman" w:hAnsi="Times New Roman" w:cs="Times New Roman"/>
      <w:bCs/>
      <w:color w:val="000000"/>
      <w:shd w:val="clear" w:color="auto" w:fill="FFFFFF"/>
      <w:lang w:eastAsia="en-GB"/>
    </w:rPr>
  </w:style>
  <w:style w:type="paragraph" w:styleId="Zpat">
    <w:name w:val="footer"/>
    <w:basedOn w:val="Normln"/>
    <w:link w:val="ZpatChar"/>
    <w:uiPriority w:val="99"/>
    <w:unhideWhenUsed/>
    <w:rsid w:val="00557F53"/>
    <w:pPr>
      <w:tabs>
        <w:tab w:val="center" w:pos="4536"/>
        <w:tab w:val="right" w:pos="9072"/>
      </w:tabs>
      <w:spacing w:after="0"/>
    </w:pPr>
  </w:style>
  <w:style w:type="character" w:customStyle="1" w:styleId="ZpatChar">
    <w:name w:val="Zápatí Char"/>
    <w:basedOn w:val="Standardnpsmoodstavce"/>
    <w:link w:val="Zpat"/>
    <w:uiPriority w:val="99"/>
    <w:rsid w:val="00557F53"/>
    <w:rPr>
      <w:rFonts w:ascii="Times New Roman" w:eastAsia="Times New Roman" w:hAnsi="Times New Roman" w:cs="Times New Roman"/>
      <w:bCs/>
      <w:color w:val="000000"/>
      <w:shd w:val="clear" w:color="auto" w:fill="FFFFFF"/>
      <w:lang w:eastAsia="en-GB"/>
    </w:rPr>
  </w:style>
  <w:style w:type="paragraph" w:customStyle="1" w:styleId="Table2">
    <w:name w:val="Table 2"/>
    <w:basedOn w:val="Normln"/>
    <w:link w:val="Table2Char"/>
    <w:qFormat/>
    <w:rsid w:val="00A653FE"/>
    <w:pPr>
      <w:keepNext/>
      <w:keepLines/>
      <w:spacing w:beforeLines="20" w:before="48" w:afterLines="20" w:after="48"/>
      <w:contextualSpacing/>
    </w:pPr>
    <w:rPr>
      <w:rFonts w:ascii="Arial" w:hAnsi="Arial" w:cs="Arial"/>
      <w:bCs w:val="0"/>
      <w:color w:val="auto"/>
      <w:sz w:val="18"/>
      <w:szCs w:val="18"/>
      <w:lang w:eastAsia="sk-SK"/>
    </w:rPr>
  </w:style>
  <w:style w:type="character" w:customStyle="1" w:styleId="Table2Char">
    <w:name w:val="Table 2 Char"/>
    <w:basedOn w:val="Standardnpsmoodstavce"/>
    <w:link w:val="Table2"/>
    <w:rsid w:val="00A653FE"/>
    <w:rPr>
      <w:rFonts w:ascii="Arial" w:eastAsia="Times New Roman" w:hAnsi="Arial" w:cs="Arial"/>
      <w:sz w:val="18"/>
      <w:szCs w:val="18"/>
      <w:lang w:eastAsia="sk-SK"/>
    </w:rPr>
  </w:style>
  <w:style w:type="paragraph" w:customStyle="1" w:styleId="TableFootnote">
    <w:name w:val="TableFootnote"/>
    <w:basedOn w:val="Normln"/>
    <w:link w:val="TableFootnoteChar"/>
    <w:qFormat/>
    <w:rsid w:val="00A653FE"/>
    <w:pPr>
      <w:keepNext/>
      <w:keepLines/>
    </w:pPr>
    <w:rPr>
      <w:rFonts w:ascii="Arial" w:hAnsi="Arial"/>
      <w:bCs w:val="0"/>
      <w:color w:val="auto"/>
      <w:sz w:val="18"/>
      <w:szCs w:val="18"/>
      <w:lang w:eastAsia="en-US"/>
    </w:rPr>
  </w:style>
  <w:style w:type="character" w:customStyle="1" w:styleId="TableFootnoteChar">
    <w:name w:val="TableFootnote Char"/>
    <w:basedOn w:val="Standardnpsmoodstavce"/>
    <w:link w:val="TableFootnote"/>
    <w:rsid w:val="00A653FE"/>
    <w:rPr>
      <w:rFonts w:ascii="Arial" w:eastAsia="Times New Roman" w:hAnsi="Arial" w:cs="Times New Roman"/>
      <w:sz w:val="18"/>
      <w:szCs w:val="18"/>
    </w:rPr>
  </w:style>
  <w:style w:type="paragraph" w:styleId="Zkladntext">
    <w:name w:val="Body Text"/>
    <w:basedOn w:val="Normln"/>
    <w:link w:val="ZkladntextChar"/>
    <w:uiPriority w:val="99"/>
    <w:semiHidden/>
    <w:rsid w:val="00A653FE"/>
    <w:rPr>
      <w:rFonts w:eastAsia="Calibri"/>
      <w:bCs w:val="0"/>
      <w:color w:val="auto"/>
      <w:sz w:val="22"/>
      <w:szCs w:val="22"/>
      <w:lang w:val="en-GB" w:eastAsia="en-US"/>
    </w:rPr>
  </w:style>
  <w:style w:type="character" w:customStyle="1" w:styleId="ZkladntextChar">
    <w:name w:val="Základní text Char"/>
    <w:basedOn w:val="Standardnpsmoodstavce"/>
    <w:link w:val="Zkladntext"/>
    <w:uiPriority w:val="99"/>
    <w:semiHidden/>
    <w:rsid w:val="00A653FE"/>
    <w:rPr>
      <w:rFonts w:ascii="Times New Roman" w:eastAsia="Calibri" w:hAnsi="Times New Roman" w:cs="Times New Roman"/>
      <w:sz w:val="22"/>
      <w:szCs w:val="22"/>
      <w:lang w:val="en-GB"/>
    </w:rPr>
  </w:style>
  <w:style w:type="paragraph" w:styleId="Seznamobrzk">
    <w:name w:val="table of figures"/>
    <w:basedOn w:val="Normln"/>
    <w:next w:val="Normln"/>
    <w:uiPriority w:val="99"/>
    <w:unhideWhenUsed/>
    <w:rsid w:val="00A653FE"/>
    <w:pPr>
      <w:spacing w:after="0"/>
      <w:jc w:val="left"/>
    </w:pPr>
    <w:rPr>
      <w:bCs w:val="0"/>
      <w:color w:val="auto"/>
      <w:sz w:val="22"/>
      <w:szCs w:val="20"/>
      <w:lang w:eastAsia="en-US"/>
    </w:rPr>
  </w:style>
  <w:style w:type="character" w:styleId="Odkaznakoment">
    <w:name w:val="annotation reference"/>
    <w:basedOn w:val="Standardnpsmoodstavce"/>
    <w:uiPriority w:val="99"/>
    <w:semiHidden/>
    <w:unhideWhenUsed/>
    <w:rsid w:val="00332AC6"/>
    <w:rPr>
      <w:sz w:val="16"/>
      <w:szCs w:val="16"/>
    </w:rPr>
  </w:style>
  <w:style w:type="paragraph" w:styleId="Textkomente">
    <w:name w:val="annotation text"/>
    <w:basedOn w:val="Normln"/>
    <w:link w:val="TextkomenteChar"/>
    <w:uiPriority w:val="99"/>
    <w:semiHidden/>
    <w:unhideWhenUsed/>
    <w:rsid w:val="00332AC6"/>
    <w:rPr>
      <w:sz w:val="20"/>
      <w:szCs w:val="20"/>
    </w:rPr>
  </w:style>
  <w:style w:type="character" w:customStyle="1" w:styleId="TextkomenteChar">
    <w:name w:val="Text komentáře Char"/>
    <w:basedOn w:val="Standardnpsmoodstavce"/>
    <w:link w:val="Textkomente"/>
    <w:uiPriority w:val="99"/>
    <w:semiHidden/>
    <w:rsid w:val="00332AC6"/>
    <w:rPr>
      <w:rFonts w:ascii="Times New Roman" w:eastAsia="Times New Roman" w:hAnsi="Times New Roman" w:cs="Times New Roman"/>
      <w:bCs/>
      <w:color w:val="000000"/>
      <w:sz w:val="20"/>
      <w:szCs w:val="20"/>
      <w:shd w:val="clear" w:color="auto" w:fill="FFFFFF"/>
      <w:lang w:eastAsia="en-GB"/>
    </w:rPr>
  </w:style>
  <w:style w:type="paragraph" w:styleId="Pedmtkomente">
    <w:name w:val="annotation subject"/>
    <w:basedOn w:val="Textkomente"/>
    <w:next w:val="Textkomente"/>
    <w:link w:val="PedmtkomenteChar"/>
    <w:uiPriority w:val="99"/>
    <w:semiHidden/>
    <w:unhideWhenUsed/>
    <w:rsid w:val="00332AC6"/>
    <w:rPr>
      <w:b/>
    </w:rPr>
  </w:style>
  <w:style w:type="character" w:customStyle="1" w:styleId="PedmtkomenteChar">
    <w:name w:val="Předmět komentáře Char"/>
    <w:basedOn w:val="TextkomenteChar"/>
    <w:link w:val="Pedmtkomente"/>
    <w:uiPriority w:val="99"/>
    <w:semiHidden/>
    <w:rsid w:val="00332AC6"/>
    <w:rPr>
      <w:rFonts w:ascii="Times New Roman" w:eastAsia="Times New Roman" w:hAnsi="Times New Roman" w:cs="Times New Roman"/>
      <w:b/>
      <w:bCs/>
      <w:color w:val="000000"/>
      <w:sz w:val="20"/>
      <w:szCs w:val="20"/>
      <w:shd w:val="clear" w:color="auto" w:fill="FFFFFF"/>
      <w:lang w:eastAsia="en-GB"/>
    </w:rPr>
  </w:style>
  <w:style w:type="paragraph" w:styleId="Nzev">
    <w:name w:val="Title"/>
    <w:basedOn w:val="Normln"/>
    <w:next w:val="Normln"/>
    <w:link w:val="NzevChar"/>
    <w:uiPriority w:val="10"/>
    <w:qFormat/>
    <w:rsid w:val="00024B70"/>
    <w:pPr>
      <w:spacing w:after="0"/>
      <w:contextualSpacing/>
    </w:pPr>
    <w:rPr>
      <w:rFonts w:asciiTheme="majorHAnsi" w:eastAsiaTheme="majorEastAsia" w:hAnsiTheme="majorHAnsi" w:cstheme="majorBidi"/>
      <w:color w:val="auto"/>
      <w:spacing w:val="-10"/>
      <w:kern w:val="28"/>
      <w:sz w:val="56"/>
      <w:szCs w:val="56"/>
    </w:rPr>
  </w:style>
  <w:style w:type="character" w:customStyle="1" w:styleId="NzevChar">
    <w:name w:val="Název Char"/>
    <w:basedOn w:val="Standardnpsmoodstavce"/>
    <w:link w:val="Nzev"/>
    <w:uiPriority w:val="10"/>
    <w:rsid w:val="00024B70"/>
    <w:rPr>
      <w:rFonts w:asciiTheme="majorHAnsi" w:eastAsiaTheme="majorEastAsia" w:hAnsiTheme="majorHAnsi" w:cstheme="majorBidi"/>
      <w:bCs/>
      <w:spacing w:val="-10"/>
      <w:kern w:val="28"/>
      <w:sz w:val="56"/>
      <w:szCs w:val="56"/>
      <w:shd w:val="clear" w:color="auto" w:fill="FFFFF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5841">
      <w:bodyDiv w:val="1"/>
      <w:marLeft w:val="0"/>
      <w:marRight w:val="0"/>
      <w:marTop w:val="0"/>
      <w:marBottom w:val="0"/>
      <w:divBdr>
        <w:top w:val="none" w:sz="0" w:space="0" w:color="auto"/>
        <w:left w:val="none" w:sz="0" w:space="0" w:color="auto"/>
        <w:bottom w:val="none" w:sz="0" w:space="0" w:color="auto"/>
        <w:right w:val="none" w:sz="0" w:space="0" w:color="auto"/>
      </w:divBdr>
    </w:div>
    <w:div w:id="203297074">
      <w:bodyDiv w:val="1"/>
      <w:marLeft w:val="0"/>
      <w:marRight w:val="0"/>
      <w:marTop w:val="0"/>
      <w:marBottom w:val="0"/>
      <w:divBdr>
        <w:top w:val="none" w:sz="0" w:space="0" w:color="auto"/>
        <w:left w:val="none" w:sz="0" w:space="0" w:color="auto"/>
        <w:bottom w:val="none" w:sz="0" w:space="0" w:color="auto"/>
        <w:right w:val="none" w:sz="0" w:space="0" w:color="auto"/>
      </w:divBdr>
    </w:div>
    <w:div w:id="205336284">
      <w:bodyDiv w:val="1"/>
      <w:marLeft w:val="0"/>
      <w:marRight w:val="0"/>
      <w:marTop w:val="0"/>
      <w:marBottom w:val="0"/>
      <w:divBdr>
        <w:top w:val="none" w:sz="0" w:space="0" w:color="auto"/>
        <w:left w:val="none" w:sz="0" w:space="0" w:color="auto"/>
        <w:bottom w:val="none" w:sz="0" w:space="0" w:color="auto"/>
        <w:right w:val="none" w:sz="0" w:space="0" w:color="auto"/>
      </w:divBdr>
    </w:div>
    <w:div w:id="305361980">
      <w:bodyDiv w:val="1"/>
      <w:marLeft w:val="0"/>
      <w:marRight w:val="0"/>
      <w:marTop w:val="0"/>
      <w:marBottom w:val="0"/>
      <w:divBdr>
        <w:top w:val="none" w:sz="0" w:space="0" w:color="auto"/>
        <w:left w:val="none" w:sz="0" w:space="0" w:color="auto"/>
        <w:bottom w:val="none" w:sz="0" w:space="0" w:color="auto"/>
        <w:right w:val="none" w:sz="0" w:space="0" w:color="auto"/>
      </w:divBdr>
    </w:div>
    <w:div w:id="313946380">
      <w:bodyDiv w:val="1"/>
      <w:marLeft w:val="0"/>
      <w:marRight w:val="0"/>
      <w:marTop w:val="0"/>
      <w:marBottom w:val="0"/>
      <w:divBdr>
        <w:top w:val="none" w:sz="0" w:space="0" w:color="auto"/>
        <w:left w:val="none" w:sz="0" w:space="0" w:color="auto"/>
        <w:bottom w:val="none" w:sz="0" w:space="0" w:color="auto"/>
        <w:right w:val="none" w:sz="0" w:space="0" w:color="auto"/>
      </w:divBdr>
    </w:div>
    <w:div w:id="451557289">
      <w:bodyDiv w:val="1"/>
      <w:marLeft w:val="0"/>
      <w:marRight w:val="0"/>
      <w:marTop w:val="0"/>
      <w:marBottom w:val="0"/>
      <w:divBdr>
        <w:top w:val="none" w:sz="0" w:space="0" w:color="auto"/>
        <w:left w:val="none" w:sz="0" w:space="0" w:color="auto"/>
        <w:bottom w:val="none" w:sz="0" w:space="0" w:color="auto"/>
        <w:right w:val="none" w:sz="0" w:space="0" w:color="auto"/>
      </w:divBdr>
    </w:div>
    <w:div w:id="534588089">
      <w:bodyDiv w:val="1"/>
      <w:marLeft w:val="0"/>
      <w:marRight w:val="0"/>
      <w:marTop w:val="0"/>
      <w:marBottom w:val="0"/>
      <w:divBdr>
        <w:top w:val="none" w:sz="0" w:space="0" w:color="auto"/>
        <w:left w:val="none" w:sz="0" w:space="0" w:color="auto"/>
        <w:bottom w:val="none" w:sz="0" w:space="0" w:color="auto"/>
        <w:right w:val="none" w:sz="0" w:space="0" w:color="auto"/>
      </w:divBdr>
    </w:div>
    <w:div w:id="608857000">
      <w:bodyDiv w:val="1"/>
      <w:marLeft w:val="0"/>
      <w:marRight w:val="0"/>
      <w:marTop w:val="0"/>
      <w:marBottom w:val="0"/>
      <w:divBdr>
        <w:top w:val="none" w:sz="0" w:space="0" w:color="auto"/>
        <w:left w:val="none" w:sz="0" w:space="0" w:color="auto"/>
        <w:bottom w:val="none" w:sz="0" w:space="0" w:color="auto"/>
        <w:right w:val="none" w:sz="0" w:space="0" w:color="auto"/>
      </w:divBdr>
    </w:div>
    <w:div w:id="634260831">
      <w:bodyDiv w:val="1"/>
      <w:marLeft w:val="0"/>
      <w:marRight w:val="0"/>
      <w:marTop w:val="0"/>
      <w:marBottom w:val="0"/>
      <w:divBdr>
        <w:top w:val="none" w:sz="0" w:space="0" w:color="auto"/>
        <w:left w:val="none" w:sz="0" w:space="0" w:color="auto"/>
        <w:bottom w:val="none" w:sz="0" w:space="0" w:color="auto"/>
        <w:right w:val="none" w:sz="0" w:space="0" w:color="auto"/>
      </w:divBdr>
    </w:div>
    <w:div w:id="897017299">
      <w:bodyDiv w:val="1"/>
      <w:marLeft w:val="0"/>
      <w:marRight w:val="0"/>
      <w:marTop w:val="0"/>
      <w:marBottom w:val="0"/>
      <w:divBdr>
        <w:top w:val="none" w:sz="0" w:space="0" w:color="auto"/>
        <w:left w:val="none" w:sz="0" w:space="0" w:color="auto"/>
        <w:bottom w:val="none" w:sz="0" w:space="0" w:color="auto"/>
        <w:right w:val="none" w:sz="0" w:space="0" w:color="auto"/>
      </w:divBdr>
      <w:divsChild>
        <w:div w:id="1539050765">
          <w:marLeft w:val="0"/>
          <w:marRight w:val="0"/>
          <w:marTop w:val="600"/>
          <w:marBottom w:val="600"/>
          <w:divBdr>
            <w:top w:val="none" w:sz="0" w:space="0" w:color="auto"/>
            <w:left w:val="none" w:sz="0" w:space="0" w:color="auto"/>
            <w:bottom w:val="none" w:sz="0" w:space="0" w:color="auto"/>
            <w:right w:val="none" w:sz="0" w:space="0" w:color="auto"/>
          </w:divBdr>
        </w:div>
      </w:divsChild>
    </w:div>
    <w:div w:id="1036589499">
      <w:bodyDiv w:val="1"/>
      <w:marLeft w:val="0"/>
      <w:marRight w:val="0"/>
      <w:marTop w:val="0"/>
      <w:marBottom w:val="0"/>
      <w:divBdr>
        <w:top w:val="none" w:sz="0" w:space="0" w:color="auto"/>
        <w:left w:val="none" w:sz="0" w:space="0" w:color="auto"/>
        <w:bottom w:val="none" w:sz="0" w:space="0" w:color="auto"/>
        <w:right w:val="none" w:sz="0" w:space="0" w:color="auto"/>
      </w:divBdr>
    </w:div>
    <w:div w:id="1098519982">
      <w:bodyDiv w:val="1"/>
      <w:marLeft w:val="0"/>
      <w:marRight w:val="0"/>
      <w:marTop w:val="0"/>
      <w:marBottom w:val="0"/>
      <w:divBdr>
        <w:top w:val="none" w:sz="0" w:space="0" w:color="auto"/>
        <w:left w:val="none" w:sz="0" w:space="0" w:color="auto"/>
        <w:bottom w:val="none" w:sz="0" w:space="0" w:color="auto"/>
        <w:right w:val="none" w:sz="0" w:space="0" w:color="auto"/>
      </w:divBdr>
    </w:div>
    <w:div w:id="1192381060">
      <w:bodyDiv w:val="1"/>
      <w:marLeft w:val="0"/>
      <w:marRight w:val="0"/>
      <w:marTop w:val="0"/>
      <w:marBottom w:val="0"/>
      <w:divBdr>
        <w:top w:val="none" w:sz="0" w:space="0" w:color="auto"/>
        <w:left w:val="none" w:sz="0" w:space="0" w:color="auto"/>
        <w:bottom w:val="none" w:sz="0" w:space="0" w:color="auto"/>
        <w:right w:val="none" w:sz="0" w:space="0" w:color="auto"/>
      </w:divBdr>
    </w:div>
    <w:div w:id="1224874807">
      <w:bodyDiv w:val="1"/>
      <w:marLeft w:val="0"/>
      <w:marRight w:val="0"/>
      <w:marTop w:val="0"/>
      <w:marBottom w:val="0"/>
      <w:divBdr>
        <w:top w:val="none" w:sz="0" w:space="0" w:color="auto"/>
        <w:left w:val="none" w:sz="0" w:space="0" w:color="auto"/>
        <w:bottom w:val="none" w:sz="0" w:space="0" w:color="auto"/>
        <w:right w:val="none" w:sz="0" w:space="0" w:color="auto"/>
      </w:divBdr>
    </w:div>
    <w:div w:id="1268389178">
      <w:bodyDiv w:val="1"/>
      <w:marLeft w:val="0"/>
      <w:marRight w:val="0"/>
      <w:marTop w:val="0"/>
      <w:marBottom w:val="0"/>
      <w:divBdr>
        <w:top w:val="none" w:sz="0" w:space="0" w:color="auto"/>
        <w:left w:val="none" w:sz="0" w:space="0" w:color="auto"/>
        <w:bottom w:val="none" w:sz="0" w:space="0" w:color="auto"/>
        <w:right w:val="none" w:sz="0" w:space="0" w:color="auto"/>
      </w:divBdr>
    </w:div>
    <w:div w:id="1424911761">
      <w:bodyDiv w:val="1"/>
      <w:marLeft w:val="0"/>
      <w:marRight w:val="0"/>
      <w:marTop w:val="0"/>
      <w:marBottom w:val="0"/>
      <w:divBdr>
        <w:top w:val="none" w:sz="0" w:space="0" w:color="auto"/>
        <w:left w:val="none" w:sz="0" w:space="0" w:color="auto"/>
        <w:bottom w:val="none" w:sz="0" w:space="0" w:color="auto"/>
        <w:right w:val="none" w:sz="0" w:space="0" w:color="auto"/>
      </w:divBdr>
    </w:div>
    <w:div w:id="1449549133">
      <w:bodyDiv w:val="1"/>
      <w:marLeft w:val="0"/>
      <w:marRight w:val="0"/>
      <w:marTop w:val="0"/>
      <w:marBottom w:val="0"/>
      <w:divBdr>
        <w:top w:val="none" w:sz="0" w:space="0" w:color="auto"/>
        <w:left w:val="none" w:sz="0" w:space="0" w:color="auto"/>
        <w:bottom w:val="none" w:sz="0" w:space="0" w:color="auto"/>
        <w:right w:val="none" w:sz="0" w:space="0" w:color="auto"/>
      </w:divBdr>
    </w:div>
    <w:div w:id="1591304871">
      <w:bodyDiv w:val="1"/>
      <w:marLeft w:val="0"/>
      <w:marRight w:val="0"/>
      <w:marTop w:val="0"/>
      <w:marBottom w:val="0"/>
      <w:divBdr>
        <w:top w:val="none" w:sz="0" w:space="0" w:color="auto"/>
        <w:left w:val="none" w:sz="0" w:space="0" w:color="auto"/>
        <w:bottom w:val="none" w:sz="0" w:space="0" w:color="auto"/>
        <w:right w:val="none" w:sz="0" w:space="0" w:color="auto"/>
      </w:divBdr>
    </w:div>
    <w:div w:id="1628272981">
      <w:bodyDiv w:val="1"/>
      <w:marLeft w:val="0"/>
      <w:marRight w:val="0"/>
      <w:marTop w:val="0"/>
      <w:marBottom w:val="0"/>
      <w:divBdr>
        <w:top w:val="none" w:sz="0" w:space="0" w:color="auto"/>
        <w:left w:val="none" w:sz="0" w:space="0" w:color="auto"/>
        <w:bottom w:val="none" w:sz="0" w:space="0" w:color="auto"/>
        <w:right w:val="none" w:sz="0" w:space="0" w:color="auto"/>
      </w:divBdr>
    </w:div>
    <w:div w:id="1641569096">
      <w:bodyDiv w:val="1"/>
      <w:marLeft w:val="0"/>
      <w:marRight w:val="0"/>
      <w:marTop w:val="0"/>
      <w:marBottom w:val="0"/>
      <w:divBdr>
        <w:top w:val="none" w:sz="0" w:space="0" w:color="auto"/>
        <w:left w:val="none" w:sz="0" w:space="0" w:color="auto"/>
        <w:bottom w:val="none" w:sz="0" w:space="0" w:color="auto"/>
        <w:right w:val="none" w:sz="0" w:space="0" w:color="auto"/>
      </w:divBdr>
    </w:div>
    <w:div w:id="1831939394">
      <w:bodyDiv w:val="1"/>
      <w:marLeft w:val="0"/>
      <w:marRight w:val="0"/>
      <w:marTop w:val="0"/>
      <w:marBottom w:val="0"/>
      <w:divBdr>
        <w:top w:val="none" w:sz="0" w:space="0" w:color="auto"/>
        <w:left w:val="none" w:sz="0" w:space="0" w:color="auto"/>
        <w:bottom w:val="none" w:sz="0" w:space="0" w:color="auto"/>
        <w:right w:val="none" w:sz="0" w:space="0" w:color="auto"/>
      </w:divBdr>
    </w:div>
    <w:div w:id="2003461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gif"/><Relationship Id="rId18" Type="http://schemas.openxmlformats.org/officeDocument/2006/relationships/image" Target="media/image10.gif"/><Relationship Id="rId26" Type="http://schemas.openxmlformats.org/officeDocument/2006/relationships/chart" Target="charts/chart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gif"/><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image" Target="media/image12.gif"/><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gif"/><Relationship Id="rId23" Type="http://schemas.openxmlformats.org/officeDocument/2006/relationships/image" Target="media/image15.gif"/><Relationship Id="rId28" Type="http://schemas.openxmlformats.org/officeDocument/2006/relationships/chart" Target="charts/chart5.xml"/><Relationship Id="rId36" Type="http://schemas.openxmlformats.org/officeDocument/2006/relationships/chart" Target="charts/chart12.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gif"/><Relationship Id="rId22" Type="http://schemas.openxmlformats.org/officeDocument/2006/relationships/image" Target="media/image14.png"/><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1.xml"/></Relationships>
</file>

<file path=word/_rels/footnotes.xml.rels><?xml version="1.0" encoding="UTF-8" standalone="yes"?>
<Relationships xmlns="http://schemas.openxmlformats.org/package/2006/relationships"><Relationship Id="rId3" Type="http://schemas.openxmlformats.org/officeDocument/2006/relationships/hyperlink" Target="http://www.finance.gov.sk/Default.aspx?CatID=11393" TargetMode="External"/><Relationship Id="rId7" Type="http://schemas.openxmlformats.org/officeDocument/2006/relationships/hyperlink" Target="http://www.euro.who.int/en/health-topics/Health-systems/public-health-services/policy/the-10-essential-public-health-operations" TargetMode="External"/><Relationship Id="rId2" Type="http://schemas.openxmlformats.org/officeDocument/2006/relationships/hyperlink" Target="https://www.weforum.org/agenda/2015/01/10-global-challenges-10-expert-views-from-davos/" TargetMode="External"/><Relationship Id="rId1" Type="http://schemas.openxmlformats.org/officeDocument/2006/relationships/hyperlink" Target="http://www.unis.unvienna.org/unis/sk/topics/sustainable_development_goals.html" TargetMode="External"/><Relationship Id="rId6" Type="http://schemas.openxmlformats.org/officeDocument/2006/relationships/hyperlink" Target="https://ec.europa.eu/health/sites/health/files/state/docs/chp_sk_slovak.pdf" TargetMode="External"/><Relationship Id="rId5" Type="http://schemas.openxmlformats.org/officeDocument/2006/relationships/hyperlink" Target="http://www.doingbusiness.org/data/exploreeconomies/slovakia" TargetMode="External"/><Relationship Id="rId4" Type="http://schemas.openxmlformats.org/officeDocument/2006/relationships/hyperlink" Target="http://www.finance.gov.sk/Default.aspx?CatID=5197"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Spulerova\Desktop\17megatrendy\Eurostat_Table_tsdpc440FlagDesc_0fb1607f-f3fe-49b0-9cb6-9327cd9ce9e8.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Dusana\Documents\Documents\OZE\data\podielOZEnaEnergii.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Users\richardfilcak\Desktop\AAAAA_Projects\MZP_FLIS2017\resourse%20efficiency.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6.xlsx"/></Relationships>
</file>

<file path=word/charts/_rels/chart14.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4.xml"/><Relationship Id="rId1" Type="http://schemas.microsoft.com/office/2011/relationships/chartStyle" Target="style4.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oleObject" Target="NULL"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xml"/><Relationship Id="rId1" Type="http://schemas.microsoft.com/office/2011/relationships/chartStyle" Target="style1.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2.xml"/><Relationship Id="rId1" Type="http://schemas.microsoft.com/office/2011/relationships/chartStyle" Target="style2.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Dusana\Documents\Documents\choroby\MGT\eurostat%20201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Dusana\Documents\Documents\choroby\MGT\eurostat%20201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Dusana\Documents\Documents\klima\emisie%20CO2eurostat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Times New Roman"/>
                <a:ea typeface="Times New Roman"/>
                <a:cs typeface="Times New Roman"/>
              </a:defRPr>
            </a:pPr>
            <a:r>
              <a:rPr lang="sk-SK"/>
              <a:t>Export tovarov a služieb (% HDP)</a:t>
            </a:r>
          </a:p>
        </c:rich>
      </c:tx>
      <c:layout>
        <c:manualLayout>
          <c:xMode val="edge"/>
          <c:yMode val="edge"/>
          <c:x val="0.30471380471380499"/>
          <c:y val="0"/>
        </c:manualLayout>
      </c:layout>
      <c:overlay val="0"/>
      <c:spPr>
        <a:solidFill>
          <a:srgbClr val="FFFFFF"/>
        </a:solidFill>
        <a:ln w="25400">
          <a:noFill/>
        </a:ln>
      </c:spPr>
    </c:title>
    <c:autoTitleDeleted val="0"/>
    <c:plotArea>
      <c:layout>
        <c:manualLayout>
          <c:layoutTarget val="inner"/>
          <c:xMode val="edge"/>
          <c:yMode val="edge"/>
          <c:x val="6.5656565656565705E-2"/>
          <c:y val="0.1125"/>
          <c:w val="0.93602693602693599"/>
          <c:h val="0.74687499999999996"/>
        </c:manualLayout>
      </c:layout>
      <c:barChart>
        <c:barDir val="col"/>
        <c:grouping val="stacked"/>
        <c:varyColors val="0"/>
        <c:ser>
          <c:idx val="0"/>
          <c:order val="0"/>
          <c:tx>
            <c:strRef>
              <c:f>Sheet1!$A$2</c:f>
              <c:strCache>
                <c:ptCount val="1"/>
                <c:pt idx="0">
                  <c:v>export tovarov</c:v>
                </c:pt>
              </c:strCache>
            </c:strRef>
          </c:tx>
          <c:spPr>
            <a:solidFill>
              <a:srgbClr val="C00000"/>
            </a:solidFill>
            <a:ln w="12700">
              <a:solidFill>
                <a:schemeClr val="tx1"/>
              </a:solidFill>
              <a:prstDash val="solid"/>
            </a:ln>
          </c:spPr>
          <c:invertIfNegative val="0"/>
          <c:cat>
            <c:numRef>
              <c:f>Sheet1!$B$1:$W$1</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Sheet1!$B$2:$W$2</c:f>
              <c:numCache>
                <c:formatCode>General</c:formatCode>
                <c:ptCount val="22"/>
                <c:pt idx="0">
                  <c:v>45</c:v>
                </c:pt>
                <c:pt idx="1">
                  <c:v>42.9</c:v>
                </c:pt>
                <c:pt idx="2">
                  <c:v>46</c:v>
                </c:pt>
                <c:pt idx="3">
                  <c:v>48.7</c:v>
                </c:pt>
                <c:pt idx="4">
                  <c:v>50.9</c:v>
                </c:pt>
                <c:pt idx="5">
                  <c:v>59.3</c:v>
                </c:pt>
                <c:pt idx="6">
                  <c:v>60.7</c:v>
                </c:pt>
                <c:pt idx="7">
                  <c:v>59.7</c:v>
                </c:pt>
                <c:pt idx="8">
                  <c:v>66.2</c:v>
                </c:pt>
                <c:pt idx="9">
                  <c:v>66</c:v>
                </c:pt>
                <c:pt idx="10">
                  <c:v>67.2</c:v>
                </c:pt>
                <c:pt idx="11">
                  <c:v>74.8</c:v>
                </c:pt>
                <c:pt idx="12">
                  <c:v>77.400000000000006</c:v>
                </c:pt>
                <c:pt idx="13">
                  <c:v>74.400000000000006</c:v>
                </c:pt>
                <c:pt idx="14">
                  <c:v>63.5</c:v>
                </c:pt>
                <c:pt idx="15">
                  <c:v>72.179437297039655</c:v>
                </c:pt>
                <c:pt idx="16">
                  <c:v>82.538145069311767</c:v>
                </c:pt>
                <c:pt idx="17">
                  <c:v>88.827843426484833</c:v>
                </c:pt>
                <c:pt idx="18">
                  <c:v>90.066673593568979</c:v>
                </c:pt>
                <c:pt idx="19">
                  <c:v>88.510195472998603</c:v>
                </c:pt>
                <c:pt idx="20">
                  <c:v>88.864774236849954</c:v>
                </c:pt>
                <c:pt idx="21">
                  <c:v>88.916065907931355</c:v>
                </c:pt>
              </c:numCache>
            </c:numRef>
          </c:val>
          <c:extLst xmlns:c16r2="http://schemas.microsoft.com/office/drawing/2015/06/chart">
            <c:ext xmlns:c16="http://schemas.microsoft.com/office/drawing/2014/chart" uri="{C3380CC4-5D6E-409C-BE32-E72D297353CC}">
              <c16:uniqueId val="{00000000-4410-4D95-8B56-20879FB8CE6A}"/>
            </c:ext>
          </c:extLst>
        </c:ser>
        <c:ser>
          <c:idx val="1"/>
          <c:order val="1"/>
          <c:tx>
            <c:strRef>
              <c:f>Sheet1!$A$3</c:f>
              <c:strCache>
                <c:ptCount val="1"/>
                <c:pt idx="0">
                  <c:v>export služieb</c:v>
                </c:pt>
              </c:strCache>
            </c:strRef>
          </c:tx>
          <c:spPr>
            <a:solidFill>
              <a:schemeClr val="accent4">
                <a:lumMod val="40000"/>
                <a:lumOff val="60000"/>
              </a:schemeClr>
            </a:solidFill>
            <a:ln w="12700">
              <a:solidFill>
                <a:srgbClr val="000000"/>
              </a:solidFill>
              <a:prstDash val="solid"/>
            </a:ln>
          </c:spPr>
          <c:invertIfNegative val="0"/>
          <c:cat>
            <c:numRef>
              <c:f>Sheet1!$B$1:$W$1</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Sheet1!$B$3:$W$3</c:f>
              <c:numCache>
                <c:formatCode>General</c:formatCode>
                <c:ptCount val="22"/>
                <c:pt idx="0">
                  <c:v>12.8</c:v>
                </c:pt>
                <c:pt idx="1">
                  <c:v>10.4</c:v>
                </c:pt>
                <c:pt idx="2">
                  <c:v>10.3</c:v>
                </c:pt>
                <c:pt idx="3">
                  <c:v>10.4</c:v>
                </c:pt>
                <c:pt idx="4">
                  <c:v>10.3</c:v>
                </c:pt>
                <c:pt idx="5">
                  <c:v>11.2</c:v>
                </c:pt>
                <c:pt idx="6">
                  <c:v>12</c:v>
                </c:pt>
                <c:pt idx="7">
                  <c:v>11.4</c:v>
                </c:pt>
                <c:pt idx="8">
                  <c:v>9.6</c:v>
                </c:pt>
                <c:pt idx="9">
                  <c:v>8.6</c:v>
                </c:pt>
                <c:pt idx="10">
                  <c:v>9.1</c:v>
                </c:pt>
                <c:pt idx="11">
                  <c:v>9.7000000000000011</c:v>
                </c:pt>
                <c:pt idx="12">
                  <c:v>9.5</c:v>
                </c:pt>
                <c:pt idx="13">
                  <c:v>9.1</c:v>
                </c:pt>
                <c:pt idx="14">
                  <c:v>7.1</c:v>
                </c:pt>
                <c:pt idx="15">
                  <c:v>7.1566944207645626</c:v>
                </c:pt>
                <c:pt idx="16">
                  <c:v>7.5247876946722503</c:v>
                </c:pt>
                <c:pt idx="17">
                  <c:v>8.5643152211084228</c:v>
                </c:pt>
                <c:pt idx="18">
                  <c:v>9.7157512584101209</c:v>
                </c:pt>
                <c:pt idx="19">
                  <c:v>9.3684664106356905</c:v>
                </c:pt>
                <c:pt idx="20">
                  <c:v>9.5623084959601403</c:v>
                </c:pt>
                <c:pt idx="21">
                  <c:v>9.6221243702723811</c:v>
                </c:pt>
              </c:numCache>
            </c:numRef>
          </c:val>
          <c:extLst xmlns:c16r2="http://schemas.microsoft.com/office/drawing/2015/06/chart">
            <c:ext xmlns:c16="http://schemas.microsoft.com/office/drawing/2014/chart" uri="{C3380CC4-5D6E-409C-BE32-E72D297353CC}">
              <c16:uniqueId val="{00000001-4410-4D95-8B56-20879FB8CE6A}"/>
            </c:ext>
          </c:extLst>
        </c:ser>
        <c:dLbls>
          <c:showLegendKey val="0"/>
          <c:showVal val="0"/>
          <c:showCatName val="0"/>
          <c:showSerName val="0"/>
          <c:showPercent val="0"/>
          <c:showBubbleSize val="0"/>
        </c:dLbls>
        <c:gapWidth val="20"/>
        <c:overlap val="100"/>
        <c:axId val="493483600"/>
        <c:axId val="493484384"/>
      </c:barChart>
      <c:catAx>
        <c:axId val="49348360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200" b="0" i="0" u="none" strike="noStrike" baseline="0">
                <a:solidFill>
                  <a:srgbClr val="000000"/>
                </a:solidFill>
                <a:latin typeface="Times New Roman"/>
                <a:ea typeface="Times New Roman"/>
                <a:cs typeface="Times New Roman"/>
              </a:defRPr>
            </a:pPr>
            <a:endParaRPr lang="cs-CZ"/>
          </a:p>
        </c:txPr>
        <c:crossAx val="493484384"/>
        <c:crosses val="autoZero"/>
        <c:auto val="1"/>
        <c:lblAlgn val="ctr"/>
        <c:lblOffset val="100"/>
        <c:tickLblSkip val="1"/>
        <c:tickMarkSkip val="1"/>
        <c:noMultiLvlLbl val="0"/>
      </c:catAx>
      <c:valAx>
        <c:axId val="493484384"/>
        <c:scaling>
          <c:orientation val="minMax"/>
          <c:max val="100"/>
          <c:min val="0"/>
        </c:scaling>
        <c:delete val="0"/>
        <c:axPos val="l"/>
        <c:majorGridlines>
          <c:spPr>
            <a:ln w="3175">
              <a:solidFill>
                <a:srgbClr val="000000"/>
              </a:solidFill>
              <a:prstDash val="dash"/>
            </a:ln>
          </c:spPr>
        </c:majorGridlines>
        <c:numFmt formatCode="0" sourceLinked="0"/>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cs-CZ"/>
          </a:p>
        </c:txPr>
        <c:crossAx val="493483600"/>
        <c:crosses val="autoZero"/>
        <c:crossBetween val="between"/>
        <c:majorUnit val="10"/>
        <c:minorUnit val="0.2"/>
      </c:valAx>
      <c:spPr>
        <a:solidFill>
          <a:srgbClr val="FFFFFF"/>
        </a:solidFill>
        <a:ln w="12700">
          <a:solidFill>
            <a:srgbClr val="808080"/>
          </a:solidFill>
          <a:prstDash val="solid"/>
        </a:ln>
      </c:spPr>
    </c:plotArea>
    <c:legend>
      <c:legendPos val="b"/>
      <c:layout>
        <c:manualLayout>
          <c:xMode val="edge"/>
          <c:yMode val="edge"/>
          <c:x val="9.7643097643097601E-2"/>
          <c:y val="0.16562499999999999"/>
          <c:w val="0.35521885521885499"/>
          <c:h val="0.10312499999999999"/>
        </c:manualLayout>
      </c:layout>
      <c:overlay val="0"/>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190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Arial CE"/>
          <a:ea typeface="Arial CE"/>
          <a:cs typeface="Arial CE"/>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'Sheet0 (2)'!$A$7:$D$7</c:f>
              <c:strCache>
                <c:ptCount val="1"/>
                <c:pt idx="0">
                  <c:v>Slovakia</c:v>
                </c:pt>
              </c:strCache>
            </c:strRef>
          </c:tx>
          <c:spPr>
            <a:ln w="25400"/>
          </c:spPr>
          <c:cat>
            <c:strRef>
              <c:f>'Sheet0 (2)'!$E$6:$Q$6</c:f>
              <c:strCache>
                <c:ptCount val="13"/>
                <c:pt idx="0">
                  <c:v>2003</c:v>
                </c:pt>
                <c:pt idx="1">
                  <c:v>2004</c:v>
                </c:pt>
                <c:pt idx="2">
                  <c:v>2005</c:v>
                </c:pt>
                <c:pt idx="3">
                  <c:v>2006</c:v>
                </c:pt>
                <c:pt idx="4">
                  <c:v>2007</c:v>
                </c:pt>
                <c:pt idx="5">
                  <c:v>2008</c:v>
                </c:pt>
                <c:pt idx="6">
                  <c:v>2009</c:v>
                </c:pt>
                <c:pt idx="7">
                  <c:v>2010</c:v>
                </c:pt>
                <c:pt idx="8">
                  <c:v>2011</c:v>
                </c:pt>
                <c:pt idx="9">
                  <c:v>2012</c:v>
                </c:pt>
                <c:pt idx="10">
                  <c:v>2013</c:v>
                </c:pt>
                <c:pt idx="11">
                  <c:v>2014</c:v>
                </c:pt>
                <c:pt idx="12">
                  <c:v>2015</c:v>
                </c:pt>
              </c:strCache>
            </c:strRef>
          </c:cat>
          <c:val>
            <c:numRef>
              <c:f>'Sheet0 (2)'!$E$7:$Q$7</c:f>
              <c:numCache>
                <c:formatCode>0.00</c:formatCode>
                <c:ptCount val="13"/>
                <c:pt idx="0">
                  <c:v>2.2000000000000002</c:v>
                </c:pt>
                <c:pt idx="1">
                  <c:v>2.6</c:v>
                </c:pt>
                <c:pt idx="2">
                  <c:v>4.5999999999999996</c:v>
                </c:pt>
                <c:pt idx="3">
                  <c:v>6.2</c:v>
                </c:pt>
                <c:pt idx="4">
                  <c:v>6.1</c:v>
                </c:pt>
                <c:pt idx="5">
                  <c:v>7.3</c:v>
                </c:pt>
                <c:pt idx="6">
                  <c:v>7.5</c:v>
                </c:pt>
                <c:pt idx="7">
                  <c:v>9.1</c:v>
                </c:pt>
                <c:pt idx="8">
                  <c:v>8.6</c:v>
                </c:pt>
                <c:pt idx="9">
                  <c:v>8.5300000000000011</c:v>
                </c:pt>
                <c:pt idx="10">
                  <c:v>8.18</c:v>
                </c:pt>
                <c:pt idx="11">
                  <c:v>9.3700000000000028</c:v>
                </c:pt>
                <c:pt idx="12">
                  <c:v>9.56</c:v>
                </c:pt>
              </c:numCache>
            </c:numRef>
          </c:val>
          <c:smooth val="0"/>
          <c:extLst xmlns:c16r2="http://schemas.microsoft.com/office/drawing/2015/06/chart">
            <c:ext xmlns:c16="http://schemas.microsoft.com/office/drawing/2014/chart" uri="{C3380CC4-5D6E-409C-BE32-E72D297353CC}">
              <c16:uniqueId val="{00000000-1339-4D00-85CE-A7E92A045C5E}"/>
            </c:ext>
          </c:extLst>
        </c:ser>
        <c:dLbls>
          <c:showLegendKey val="0"/>
          <c:showVal val="0"/>
          <c:showCatName val="0"/>
          <c:showSerName val="0"/>
          <c:showPercent val="0"/>
          <c:showBubbleSize val="0"/>
        </c:dLbls>
        <c:marker val="1"/>
        <c:smooth val="0"/>
        <c:axId val="261877376"/>
        <c:axId val="261878160"/>
      </c:lineChart>
      <c:catAx>
        <c:axId val="261877376"/>
        <c:scaling>
          <c:orientation val="minMax"/>
        </c:scaling>
        <c:delete val="0"/>
        <c:axPos val="b"/>
        <c:numFmt formatCode="General" sourceLinked="0"/>
        <c:majorTickMark val="none"/>
        <c:minorTickMark val="none"/>
        <c:tickLblPos val="nextTo"/>
        <c:txPr>
          <a:bodyPr/>
          <a:lstStyle/>
          <a:p>
            <a:pPr>
              <a:defRPr b="1"/>
            </a:pPr>
            <a:endParaRPr lang="cs-CZ"/>
          </a:p>
        </c:txPr>
        <c:crossAx val="261878160"/>
        <c:crosses val="autoZero"/>
        <c:auto val="1"/>
        <c:lblAlgn val="ctr"/>
        <c:lblOffset val="100"/>
        <c:noMultiLvlLbl val="0"/>
      </c:catAx>
      <c:valAx>
        <c:axId val="261878160"/>
        <c:scaling>
          <c:orientation val="minMax"/>
        </c:scaling>
        <c:delete val="0"/>
        <c:axPos val="l"/>
        <c:majorGridlines>
          <c:spPr>
            <a:ln>
              <a:prstDash val="dash"/>
            </a:ln>
          </c:spPr>
        </c:majorGridlines>
        <c:title>
          <c:tx>
            <c:rich>
              <a:bodyPr/>
              <a:lstStyle/>
              <a:p>
                <a:pPr>
                  <a:defRPr/>
                </a:pPr>
                <a:r>
                  <a:rPr lang="en-US"/>
                  <a:t>% ekologického poľnohospodárstva</a:t>
                </a:r>
              </a:p>
            </c:rich>
          </c:tx>
          <c:overlay val="0"/>
        </c:title>
        <c:numFmt formatCode="General" sourceLinked="0"/>
        <c:majorTickMark val="none"/>
        <c:minorTickMark val="none"/>
        <c:tickLblPos val="nextTo"/>
        <c:crossAx val="261877376"/>
        <c:crosses val="autoZero"/>
        <c:crossBetween val="between"/>
      </c:valAx>
      <c:spPr>
        <a:ln>
          <a:solidFill>
            <a:schemeClr val="tx1"/>
          </a:solidFill>
        </a:ln>
      </c:spPr>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sk-SK" sz="1200"/>
              <a:t>Podiel OZE v hrubej konečnej spotrebe energie (</a:t>
            </a:r>
            <a:r>
              <a:rPr lang="en-US" sz="1200"/>
              <a:t>%)</a:t>
            </a:r>
            <a:endParaRPr lang="sk-SK" sz="1200"/>
          </a:p>
        </c:rich>
      </c:tx>
      <c:overlay val="0"/>
    </c:title>
    <c:autoTitleDeleted val="0"/>
    <c:plotArea>
      <c:layout>
        <c:manualLayout>
          <c:layoutTarget val="inner"/>
          <c:xMode val="edge"/>
          <c:yMode val="edge"/>
          <c:x val="5.54612559657588E-2"/>
          <c:y val="0.12415059687787"/>
          <c:w val="0.92014309089607305"/>
          <c:h val="0.807841912322943"/>
        </c:manualLayout>
      </c:layout>
      <c:lineChart>
        <c:grouping val="standard"/>
        <c:varyColors val="0"/>
        <c:ser>
          <c:idx val="0"/>
          <c:order val="0"/>
          <c:tx>
            <c:strRef>
              <c:f>'celkovo OZE'!$B$47</c:f>
              <c:strCache>
                <c:ptCount val="1"/>
                <c:pt idx="0">
                  <c:v>cieľ</c:v>
                </c:pt>
              </c:strCache>
            </c:strRef>
          </c:tx>
          <c:spPr>
            <a:ln w="31750">
              <a:solidFill>
                <a:srgbClr val="00B050"/>
              </a:solidFill>
            </a:ln>
          </c:spPr>
          <c:marker>
            <c:symbol val="none"/>
          </c:marker>
          <c:cat>
            <c:numRef>
              <c:f>'celkovo OZE'!$A$48:$A$62</c:f>
              <c:numCache>
                <c:formatCode>0</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'celkovo OZE'!$B$48:$B$62</c:f>
              <c:numCache>
                <c:formatCode>General</c:formatCode>
                <c:ptCount val="15"/>
                <c:pt idx="13">
                  <c:v>14</c:v>
                </c:pt>
                <c:pt idx="14">
                  <c:v>14</c:v>
                </c:pt>
              </c:numCache>
            </c:numRef>
          </c:val>
          <c:smooth val="0"/>
          <c:extLst xmlns:c16r2="http://schemas.microsoft.com/office/drawing/2015/06/chart">
            <c:ext xmlns:c16="http://schemas.microsoft.com/office/drawing/2014/chart" uri="{C3380CC4-5D6E-409C-BE32-E72D297353CC}">
              <c16:uniqueId val="{00000000-73C1-45F1-A518-85CD75B678AF}"/>
            </c:ext>
          </c:extLst>
        </c:ser>
        <c:ser>
          <c:idx val="1"/>
          <c:order val="1"/>
          <c:tx>
            <c:strRef>
              <c:f>'celkovo OZE'!$C$47</c:f>
              <c:strCache>
                <c:ptCount val="1"/>
                <c:pt idx="0">
                  <c:v>podiel OZE - reálny a očakávaný</c:v>
                </c:pt>
              </c:strCache>
            </c:strRef>
          </c:tx>
          <c:spPr>
            <a:ln w="31750">
              <a:solidFill>
                <a:srgbClr val="0070C0"/>
              </a:solidFill>
            </a:ln>
          </c:spPr>
          <c:marker>
            <c:symbol val="none"/>
          </c:marker>
          <c:dPt>
            <c:idx val="11"/>
            <c:bubble3D val="0"/>
            <c:spPr>
              <a:ln w="31750">
                <a:solidFill>
                  <a:srgbClr val="FFC000"/>
                </a:solidFill>
              </a:ln>
            </c:spPr>
            <c:extLst xmlns:c16r2="http://schemas.microsoft.com/office/drawing/2015/06/chart">
              <c:ext xmlns:c16="http://schemas.microsoft.com/office/drawing/2014/chart" uri="{C3380CC4-5D6E-409C-BE32-E72D297353CC}">
                <c16:uniqueId val="{00000002-73C1-45F1-A518-85CD75B678AF}"/>
              </c:ext>
            </c:extLst>
          </c:dPt>
          <c:dPt>
            <c:idx val="12"/>
            <c:bubble3D val="0"/>
            <c:spPr>
              <a:ln w="31750">
                <a:solidFill>
                  <a:srgbClr val="FFC000"/>
                </a:solidFill>
              </a:ln>
            </c:spPr>
            <c:extLst xmlns:c16r2="http://schemas.microsoft.com/office/drawing/2015/06/chart">
              <c:ext xmlns:c16="http://schemas.microsoft.com/office/drawing/2014/chart" uri="{C3380CC4-5D6E-409C-BE32-E72D297353CC}">
                <c16:uniqueId val="{00000004-73C1-45F1-A518-85CD75B678AF}"/>
              </c:ext>
            </c:extLst>
          </c:dPt>
          <c:dPt>
            <c:idx val="13"/>
            <c:bubble3D val="0"/>
            <c:spPr>
              <a:ln w="31750">
                <a:solidFill>
                  <a:srgbClr val="FFC000"/>
                </a:solidFill>
              </a:ln>
            </c:spPr>
            <c:extLst xmlns:c16r2="http://schemas.microsoft.com/office/drawing/2015/06/chart">
              <c:ext xmlns:c16="http://schemas.microsoft.com/office/drawing/2014/chart" uri="{C3380CC4-5D6E-409C-BE32-E72D297353CC}">
                <c16:uniqueId val="{00000006-73C1-45F1-A518-85CD75B678AF}"/>
              </c:ext>
            </c:extLst>
          </c:dPt>
          <c:dPt>
            <c:idx val="14"/>
            <c:bubble3D val="0"/>
            <c:spPr>
              <a:ln w="31750">
                <a:solidFill>
                  <a:srgbClr val="FFC000"/>
                </a:solidFill>
              </a:ln>
            </c:spPr>
            <c:extLst xmlns:c16r2="http://schemas.microsoft.com/office/drawing/2015/06/chart">
              <c:ext xmlns:c16="http://schemas.microsoft.com/office/drawing/2014/chart" uri="{C3380CC4-5D6E-409C-BE32-E72D297353CC}">
                <c16:uniqueId val="{00000008-73C1-45F1-A518-85CD75B678AF}"/>
              </c:ext>
            </c:extLst>
          </c:dPt>
          <c:cat>
            <c:numRef>
              <c:f>'celkovo OZE'!$A$48:$A$62</c:f>
              <c:numCache>
                <c:formatCode>0</c:formatCod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numCache>
            </c:numRef>
          </c:cat>
          <c:val>
            <c:numRef>
              <c:f>'celkovo OZE'!$C$48:$C$62</c:f>
              <c:numCache>
                <c:formatCode>0.0</c:formatCode>
                <c:ptCount val="15"/>
                <c:pt idx="0">
                  <c:v>6.6</c:v>
                </c:pt>
                <c:pt idx="1">
                  <c:v>7.8</c:v>
                </c:pt>
                <c:pt idx="2">
                  <c:v>7.7</c:v>
                </c:pt>
                <c:pt idx="3">
                  <c:v>9.4</c:v>
                </c:pt>
                <c:pt idx="4">
                  <c:v>9.1</c:v>
                </c:pt>
                <c:pt idx="5">
                  <c:v>10.3</c:v>
                </c:pt>
                <c:pt idx="6">
                  <c:v>10.4</c:v>
                </c:pt>
                <c:pt idx="7">
                  <c:v>10.1</c:v>
                </c:pt>
                <c:pt idx="8">
                  <c:v>11.7</c:v>
                </c:pt>
                <c:pt idx="9">
                  <c:v>12.9</c:v>
                </c:pt>
                <c:pt idx="10">
                  <c:v>12.939999999999831</c:v>
                </c:pt>
                <c:pt idx="11">
                  <c:v>13.475999999999919</c:v>
                </c:pt>
                <c:pt idx="12">
                  <c:v>14.152242424242329</c:v>
                </c:pt>
                <c:pt idx="13">
                  <c:v>14.615050505050471</c:v>
                </c:pt>
                <c:pt idx="14">
                  <c:v>15.50794372294375</c:v>
                </c:pt>
              </c:numCache>
            </c:numRef>
          </c:val>
          <c:smooth val="0"/>
          <c:extLst xmlns:c16r2="http://schemas.microsoft.com/office/drawing/2015/06/chart">
            <c:ext xmlns:c16="http://schemas.microsoft.com/office/drawing/2014/chart" uri="{C3380CC4-5D6E-409C-BE32-E72D297353CC}">
              <c16:uniqueId val="{00000009-73C1-45F1-A518-85CD75B678AF}"/>
            </c:ext>
          </c:extLst>
        </c:ser>
        <c:dLbls>
          <c:showLegendKey val="0"/>
          <c:showVal val="0"/>
          <c:showCatName val="0"/>
          <c:showSerName val="0"/>
          <c:showPercent val="0"/>
          <c:showBubbleSize val="0"/>
        </c:dLbls>
        <c:smooth val="0"/>
        <c:axId val="261878552"/>
        <c:axId val="261877768"/>
      </c:lineChart>
      <c:catAx>
        <c:axId val="261878552"/>
        <c:scaling>
          <c:orientation val="minMax"/>
        </c:scaling>
        <c:delete val="0"/>
        <c:axPos val="b"/>
        <c:numFmt formatCode="0" sourceLinked="1"/>
        <c:majorTickMark val="none"/>
        <c:minorTickMark val="none"/>
        <c:tickLblPos val="nextTo"/>
        <c:txPr>
          <a:bodyPr/>
          <a:lstStyle/>
          <a:p>
            <a:pPr>
              <a:defRPr b="1"/>
            </a:pPr>
            <a:endParaRPr lang="cs-CZ"/>
          </a:p>
        </c:txPr>
        <c:crossAx val="261877768"/>
        <c:crosses val="autoZero"/>
        <c:auto val="1"/>
        <c:lblAlgn val="ctr"/>
        <c:lblOffset val="100"/>
        <c:noMultiLvlLbl val="0"/>
      </c:catAx>
      <c:valAx>
        <c:axId val="261877768"/>
        <c:scaling>
          <c:orientation val="minMax"/>
          <c:min val="5"/>
        </c:scaling>
        <c:delete val="0"/>
        <c:axPos val="l"/>
        <c:majorGridlines>
          <c:spPr>
            <a:ln>
              <a:solidFill>
                <a:schemeClr val="tx1"/>
              </a:solidFill>
              <a:prstDash val="dash"/>
            </a:ln>
          </c:spPr>
        </c:majorGridlines>
        <c:numFmt formatCode="General" sourceLinked="1"/>
        <c:majorTickMark val="none"/>
        <c:minorTickMark val="none"/>
        <c:tickLblPos val="nextTo"/>
        <c:spPr>
          <a:ln w="9525">
            <a:noFill/>
          </a:ln>
        </c:spPr>
        <c:crossAx val="261878552"/>
        <c:crosses val="autoZero"/>
        <c:crossBetween val="between"/>
      </c:valAx>
      <c:spPr>
        <a:ln>
          <a:solidFill>
            <a:schemeClr val="tx1"/>
          </a:solidFill>
        </a:ln>
      </c:spPr>
    </c:plotArea>
    <c:legend>
      <c:legendPos val="b"/>
      <c:layout>
        <c:manualLayout>
          <c:xMode val="edge"/>
          <c:yMode val="edge"/>
          <c:x val="0.343178035879248"/>
          <c:y val="0.83851543350469604"/>
          <c:w val="0.52211587324039599"/>
          <c:h val="6.2311012776295499E-2"/>
        </c:manualLayout>
      </c:layout>
      <c:overlay val="0"/>
      <c:txPr>
        <a:bodyPr/>
        <a:lstStyle/>
        <a:p>
          <a:pPr>
            <a:defRPr sz="1100"/>
          </a:pPr>
          <a:endParaRPr lang="cs-CZ"/>
        </a:p>
      </c:txPr>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4347056219566201E-2"/>
          <c:y val="4.3833432954771899E-2"/>
          <c:w val="0.70382912793271402"/>
          <c:h val="0.862462485076395"/>
        </c:manualLayout>
      </c:layout>
      <c:lineChart>
        <c:grouping val="standard"/>
        <c:varyColors val="0"/>
        <c:ser>
          <c:idx val="0"/>
          <c:order val="0"/>
          <c:tx>
            <c:strRef>
              <c:f>'Sheet1 (2)'!$A$2</c:f>
              <c:strCache>
                <c:ptCount val="1"/>
                <c:pt idx="0">
                  <c:v>Produktivita zdrojov Eur/kg</c:v>
                </c:pt>
              </c:strCache>
            </c:strRef>
          </c:tx>
          <c:spPr>
            <a:ln w="31750" cap="rnd">
              <a:solidFill>
                <a:schemeClr val="accent1"/>
              </a:solidFill>
              <a:round/>
            </a:ln>
            <a:effectLst/>
          </c:spPr>
          <c:marker>
            <c:symbol val="circle"/>
            <c:size val="23"/>
            <c:spPr>
              <a:solidFill>
                <a:schemeClr val="accent1">
                  <a:lumMod val="20000"/>
                  <a:lumOff val="80000"/>
                </a:schemeClr>
              </a:solidFill>
              <a:ln>
                <a:noFill/>
              </a:ln>
              <a:effectLst/>
            </c:spPr>
          </c:marker>
          <c:dLbls>
            <c:spPr>
              <a:solidFill>
                <a:schemeClr val="accent1">
                  <a:lumMod val="20000"/>
                  <a:lumOff val="80000"/>
                </a:schemeClr>
              </a:solidFill>
              <a:ln>
                <a:noFill/>
              </a:ln>
              <a:effectLst/>
            </c:spPr>
            <c:txPr>
              <a:bodyPr rot="0" vert="horz"/>
              <a:lstStyle/>
              <a:p>
                <a:pPr>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 (2)'!$B$1:$G$1</c:f>
              <c:numCache>
                <c:formatCode>General</c:formatCode>
                <c:ptCount val="6"/>
                <c:pt idx="0">
                  <c:v>2010</c:v>
                </c:pt>
                <c:pt idx="1">
                  <c:v>2011</c:v>
                </c:pt>
                <c:pt idx="2">
                  <c:v>2012</c:v>
                </c:pt>
                <c:pt idx="3">
                  <c:v>2013</c:v>
                </c:pt>
                <c:pt idx="4">
                  <c:v>2014</c:v>
                </c:pt>
                <c:pt idx="5">
                  <c:v>2015</c:v>
                </c:pt>
              </c:numCache>
            </c:numRef>
          </c:cat>
          <c:val>
            <c:numRef>
              <c:f>'Sheet1 (2)'!$B$2:$G$2</c:f>
              <c:numCache>
                <c:formatCode>General</c:formatCode>
                <c:ptCount val="6"/>
                <c:pt idx="0">
                  <c:v>0.94</c:v>
                </c:pt>
                <c:pt idx="1">
                  <c:v>0.93</c:v>
                </c:pt>
                <c:pt idx="2">
                  <c:v>1.1200000000000001</c:v>
                </c:pt>
                <c:pt idx="3">
                  <c:v>1.165</c:v>
                </c:pt>
                <c:pt idx="4">
                  <c:v>1.08</c:v>
                </c:pt>
                <c:pt idx="5">
                  <c:v>1.1100000000000001</c:v>
                </c:pt>
              </c:numCache>
            </c:numRef>
          </c:val>
          <c:smooth val="0"/>
          <c:extLst xmlns:c16r2="http://schemas.microsoft.com/office/drawing/2015/06/chart">
            <c:ext xmlns:c16="http://schemas.microsoft.com/office/drawing/2014/chart" uri="{C3380CC4-5D6E-409C-BE32-E72D297353CC}">
              <c16:uniqueId val="{00000000-39F9-4333-821C-1D5DEE181FAA}"/>
            </c:ext>
          </c:extLst>
        </c:ser>
        <c:ser>
          <c:idx val="1"/>
          <c:order val="1"/>
          <c:tx>
            <c:strRef>
              <c:f>'Sheet1 (2)'!$A$3</c:f>
              <c:strCache>
                <c:ptCount val="1"/>
                <c:pt idx="0">
                  <c:v>Energetická náročnosť (kgoe/Eur)</c:v>
                </c:pt>
              </c:strCache>
            </c:strRef>
          </c:tx>
          <c:spPr>
            <a:ln w="31750" cap="rnd">
              <a:solidFill>
                <a:schemeClr val="accent2"/>
              </a:solidFill>
              <a:round/>
            </a:ln>
            <a:effectLst/>
          </c:spPr>
          <c:marker>
            <c:symbol val="circle"/>
            <c:size val="21"/>
            <c:spPr>
              <a:solidFill>
                <a:schemeClr val="accent2"/>
              </a:solidFill>
              <a:ln>
                <a:noFill/>
              </a:ln>
              <a:effectLst/>
            </c:spPr>
          </c:marker>
          <c:dLbls>
            <c:spPr>
              <a:noFill/>
              <a:ln>
                <a:noFill/>
              </a:ln>
              <a:effectLst/>
            </c:spPr>
            <c:txPr>
              <a:bodyPr rot="0" vert="horz"/>
              <a:lstStyle/>
              <a:p>
                <a:pPr>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 (2)'!$B$1:$G$1</c:f>
              <c:numCache>
                <c:formatCode>General</c:formatCode>
                <c:ptCount val="6"/>
                <c:pt idx="0">
                  <c:v>2010</c:v>
                </c:pt>
                <c:pt idx="1">
                  <c:v>2011</c:v>
                </c:pt>
                <c:pt idx="2">
                  <c:v>2012</c:v>
                </c:pt>
                <c:pt idx="3">
                  <c:v>2013</c:v>
                </c:pt>
                <c:pt idx="4">
                  <c:v>2014</c:v>
                </c:pt>
                <c:pt idx="5">
                  <c:v>2015</c:v>
                </c:pt>
              </c:numCache>
            </c:numRef>
          </c:cat>
          <c:val>
            <c:numRef>
              <c:f>'Sheet1 (2)'!$B$3:$G$3</c:f>
              <c:numCache>
                <c:formatCode>General</c:formatCode>
                <c:ptCount val="6"/>
                <c:pt idx="0">
                  <c:v>0.37</c:v>
                </c:pt>
                <c:pt idx="1">
                  <c:v>0.35</c:v>
                </c:pt>
                <c:pt idx="2">
                  <c:v>0.33</c:v>
                </c:pt>
                <c:pt idx="3">
                  <c:v>0.33</c:v>
                </c:pt>
                <c:pt idx="4">
                  <c:v>0.31</c:v>
                </c:pt>
                <c:pt idx="5">
                  <c:v>0.3</c:v>
                </c:pt>
              </c:numCache>
            </c:numRef>
          </c:val>
          <c:smooth val="0"/>
          <c:extLst xmlns:c16r2="http://schemas.microsoft.com/office/drawing/2015/06/chart">
            <c:ext xmlns:c16="http://schemas.microsoft.com/office/drawing/2014/chart" uri="{C3380CC4-5D6E-409C-BE32-E72D297353CC}">
              <c16:uniqueId val="{00000001-39F9-4333-821C-1D5DEE181FAA}"/>
            </c:ext>
          </c:extLst>
        </c:ser>
        <c:ser>
          <c:idx val="2"/>
          <c:order val="2"/>
          <c:tx>
            <c:strRef>
              <c:f>'Sheet1 (2)'!$A$4</c:f>
              <c:strCache>
                <c:ptCount val="1"/>
                <c:pt idx="0">
                  <c:v>Spotreba materiálov (v tonách na obyvateľa)</c:v>
                </c:pt>
              </c:strCache>
            </c:strRef>
          </c:tx>
          <c:spPr>
            <a:ln w="31750" cap="rnd">
              <a:solidFill>
                <a:schemeClr val="accent3"/>
              </a:solidFill>
              <a:round/>
            </a:ln>
            <a:effectLst/>
          </c:spPr>
          <c:marker>
            <c:symbol val="circle"/>
            <c:size val="23"/>
            <c:spPr>
              <a:solidFill>
                <a:schemeClr val="accent3"/>
              </a:solidFill>
              <a:ln>
                <a:noFill/>
              </a:ln>
              <a:effectLst/>
            </c:spPr>
          </c:marker>
          <c:dLbls>
            <c:spPr>
              <a:noFill/>
              <a:ln>
                <a:noFill/>
              </a:ln>
              <a:effectLst/>
            </c:spPr>
            <c:txPr>
              <a:bodyPr rot="0" vert="horz"/>
              <a:lstStyle/>
              <a:p>
                <a:pPr>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 (2)'!$B$1:$G$1</c:f>
              <c:numCache>
                <c:formatCode>General</c:formatCode>
                <c:ptCount val="6"/>
                <c:pt idx="0">
                  <c:v>2010</c:v>
                </c:pt>
                <c:pt idx="1">
                  <c:v>2011</c:v>
                </c:pt>
                <c:pt idx="2">
                  <c:v>2012</c:v>
                </c:pt>
                <c:pt idx="3">
                  <c:v>2013</c:v>
                </c:pt>
                <c:pt idx="4">
                  <c:v>2014</c:v>
                </c:pt>
                <c:pt idx="5">
                  <c:v>2015</c:v>
                </c:pt>
              </c:numCache>
            </c:numRef>
          </c:cat>
          <c:val>
            <c:numRef>
              <c:f>'Sheet1 (2)'!$B$4:$G$4</c:f>
              <c:numCache>
                <c:formatCode>General</c:formatCode>
                <c:ptCount val="6"/>
                <c:pt idx="0">
                  <c:v>13.33</c:v>
                </c:pt>
                <c:pt idx="1">
                  <c:v>13.76</c:v>
                </c:pt>
                <c:pt idx="2">
                  <c:v>11.19</c:v>
                </c:pt>
                <c:pt idx="3">
                  <c:v>11.37000000000001</c:v>
                </c:pt>
                <c:pt idx="4">
                  <c:v>12.56</c:v>
                </c:pt>
              </c:numCache>
            </c:numRef>
          </c:val>
          <c:smooth val="0"/>
          <c:extLst xmlns:c16r2="http://schemas.microsoft.com/office/drawing/2015/06/chart">
            <c:ext xmlns:c16="http://schemas.microsoft.com/office/drawing/2014/chart" uri="{C3380CC4-5D6E-409C-BE32-E72D297353CC}">
              <c16:uniqueId val="{00000002-39F9-4333-821C-1D5DEE181FAA}"/>
            </c:ext>
          </c:extLst>
        </c:ser>
        <c:ser>
          <c:idx val="3"/>
          <c:order val="3"/>
          <c:tx>
            <c:strRef>
              <c:f>'Sheet1 (2)'!$A$5</c:f>
              <c:strCache>
                <c:ptCount val="1"/>
                <c:pt idx="0">
                  <c:v>Recyklácia komunálneho odpadu (%)</c:v>
                </c:pt>
              </c:strCache>
            </c:strRef>
          </c:tx>
          <c:spPr>
            <a:ln w="31750" cap="rnd">
              <a:solidFill>
                <a:schemeClr val="accent4"/>
              </a:solidFill>
              <a:round/>
            </a:ln>
            <a:effectLst/>
          </c:spPr>
          <c:marker>
            <c:symbol val="circle"/>
            <c:size val="23"/>
            <c:spPr>
              <a:solidFill>
                <a:schemeClr val="accent4"/>
              </a:solidFill>
              <a:ln>
                <a:noFill/>
              </a:ln>
              <a:effectLst/>
            </c:spPr>
          </c:marker>
          <c:dLbls>
            <c:spPr>
              <a:noFill/>
              <a:ln>
                <a:noFill/>
              </a:ln>
              <a:effectLst/>
            </c:spPr>
            <c:txPr>
              <a:bodyPr rot="0" vert="horz"/>
              <a:lstStyle/>
              <a:p>
                <a:pPr>
                  <a:defRPr/>
                </a:pPr>
                <a:endParaRPr lang="cs-CZ"/>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'Sheet1 (2)'!$B$1:$G$1</c:f>
              <c:numCache>
                <c:formatCode>General</c:formatCode>
                <c:ptCount val="6"/>
                <c:pt idx="0">
                  <c:v>2010</c:v>
                </c:pt>
                <c:pt idx="1">
                  <c:v>2011</c:v>
                </c:pt>
                <c:pt idx="2">
                  <c:v>2012</c:v>
                </c:pt>
                <c:pt idx="3">
                  <c:v>2013</c:v>
                </c:pt>
                <c:pt idx="4">
                  <c:v>2014</c:v>
                </c:pt>
                <c:pt idx="5">
                  <c:v>2015</c:v>
                </c:pt>
              </c:numCache>
            </c:numRef>
          </c:cat>
          <c:val>
            <c:numRef>
              <c:f>'Sheet1 (2)'!$B$5:$G$5</c:f>
              <c:numCache>
                <c:formatCode>General</c:formatCode>
                <c:ptCount val="6"/>
                <c:pt idx="0">
                  <c:v>9.1</c:v>
                </c:pt>
                <c:pt idx="1">
                  <c:v>10.3</c:v>
                </c:pt>
                <c:pt idx="2">
                  <c:v>13.3</c:v>
                </c:pt>
                <c:pt idx="3">
                  <c:v>10.8</c:v>
                </c:pt>
                <c:pt idx="4">
                  <c:v>10.3</c:v>
                </c:pt>
                <c:pt idx="5">
                  <c:v>14.9</c:v>
                </c:pt>
              </c:numCache>
            </c:numRef>
          </c:val>
          <c:smooth val="0"/>
          <c:extLst xmlns:c16r2="http://schemas.microsoft.com/office/drawing/2015/06/chart">
            <c:ext xmlns:c16="http://schemas.microsoft.com/office/drawing/2014/chart" uri="{C3380CC4-5D6E-409C-BE32-E72D297353CC}">
              <c16:uniqueId val="{00000003-39F9-4333-821C-1D5DEE181FAA}"/>
            </c:ext>
          </c:extLst>
        </c:ser>
        <c:dLbls>
          <c:showLegendKey val="0"/>
          <c:showVal val="1"/>
          <c:showCatName val="0"/>
          <c:showSerName val="0"/>
          <c:showPercent val="0"/>
          <c:showBubbleSize val="0"/>
        </c:dLbls>
        <c:marker val="1"/>
        <c:smooth val="0"/>
        <c:axId val="419121568"/>
        <c:axId val="419121960"/>
      </c:lineChart>
      <c:catAx>
        <c:axId val="41912156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vert="horz"/>
          <a:lstStyle/>
          <a:p>
            <a:pPr>
              <a:defRPr/>
            </a:pPr>
            <a:endParaRPr lang="cs-CZ"/>
          </a:p>
        </c:txPr>
        <c:crossAx val="419121960"/>
        <c:crosses val="autoZero"/>
        <c:auto val="1"/>
        <c:lblAlgn val="ctr"/>
        <c:lblOffset val="100"/>
        <c:noMultiLvlLbl val="0"/>
      </c:catAx>
      <c:valAx>
        <c:axId val="419121960"/>
        <c:scaling>
          <c:orientation val="minMax"/>
        </c:scaling>
        <c:delete val="1"/>
        <c:axPos val="l"/>
        <c:majorGridlines>
          <c:spPr>
            <a:ln w="9525" cap="flat" cmpd="sng" algn="ctr">
              <a:solidFill>
                <a:schemeClr val="tx1"/>
              </a:solidFill>
              <a:prstDash val="dash"/>
              <a:round/>
            </a:ln>
            <a:effectLst/>
          </c:spPr>
        </c:majorGridlines>
        <c:numFmt formatCode="General" sourceLinked="1"/>
        <c:majorTickMark val="none"/>
        <c:minorTickMark val="none"/>
        <c:tickLblPos val="none"/>
        <c:crossAx val="419121568"/>
        <c:crosses val="autoZero"/>
        <c:crossBetween val="between"/>
      </c:valAx>
      <c:spPr>
        <a:noFill/>
        <a:ln>
          <a:solidFill>
            <a:schemeClr val="tx1"/>
          </a:solidFill>
        </a:ln>
        <a:effectLst/>
      </c:spPr>
    </c:plotArea>
    <c:legend>
      <c:legendPos val="r"/>
      <c:layout>
        <c:manualLayout>
          <c:xMode val="edge"/>
          <c:yMode val="edge"/>
          <c:x val="0.73260292164674701"/>
          <c:y val="7.0206286975634302E-2"/>
          <c:w val="0.25411686586985399"/>
          <c:h val="0.87552654244579298"/>
        </c:manualLayout>
      </c:layout>
      <c:overlay val="0"/>
      <c:spPr>
        <a:solidFill>
          <a:schemeClr val="lt1">
            <a:lumMod val="95000"/>
            <a:alpha val="39000"/>
          </a:schemeClr>
        </a:solidFill>
        <a:ln>
          <a:noFill/>
        </a:ln>
        <a:effectLst/>
      </c:spPr>
      <c:txPr>
        <a:bodyPr rot="0" vert="horz"/>
        <a:lstStyle/>
        <a:p>
          <a:pPr>
            <a:defRPr/>
          </a:pPr>
          <a:endParaRPr lang="cs-CZ"/>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Sheet0!$B$3</c:f>
              <c:strCache>
                <c:ptCount val="1"/>
                <c:pt idx="0">
                  <c:v>2014</c:v>
                </c:pt>
              </c:strCache>
            </c:strRef>
          </c:tx>
          <c:spPr>
            <a:solidFill>
              <a:schemeClr val="accent1"/>
            </a:solidFill>
            <a:ln>
              <a:noFill/>
            </a:ln>
            <a:effectLst/>
          </c:spPr>
          <c:invertIfNegative val="0"/>
          <c:cat>
            <c:strRef>
              <c:f>Sheet0!$A$4:$A$32</c:f>
              <c:strCache>
                <c:ptCount val="29"/>
                <c:pt idx="0">
                  <c:v>Európska únia</c:v>
                </c:pt>
                <c:pt idx="1">
                  <c:v>Česká republika</c:v>
                </c:pt>
                <c:pt idx="2">
                  <c:v>Nizozemsko</c:v>
                </c:pt>
                <c:pt idx="3">
                  <c:v>Dánsko</c:v>
                </c:pt>
                <c:pt idx="4">
                  <c:v>Slovensko</c:v>
                </c:pt>
                <c:pt idx="5">
                  <c:v>Fínsko</c:v>
                </c:pt>
                <c:pt idx="6">
                  <c:v>Francúzsko</c:v>
                </c:pt>
                <c:pt idx="7">
                  <c:v>Rakúsko</c:v>
                </c:pt>
                <c:pt idx="8">
                  <c:v>Slovinsko</c:v>
                </c:pt>
                <c:pt idx="9">
                  <c:v>Švédsko</c:v>
                </c:pt>
                <c:pt idx="10">
                  <c:v>Belgicko</c:v>
                </c:pt>
                <c:pt idx="11">
                  <c:v>Maďarsko</c:v>
                </c:pt>
                <c:pt idx="12">
                  <c:v>Luxembourg</c:v>
                </c:pt>
                <c:pt idx="13">
                  <c:v>Írsko</c:v>
                </c:pt>
                <c:pt idx="14">
                  <c:v>Cyprus</c:v>
                </c:pt>
                <c:pt idx="15">
                  <c:v>Malta</c:v>
                </c:pt>
                <c:pt idx="16">
                  <c:v>Nemecko</c:v>
                </c:pt>
                <c:pt idx="17">
                  <c:v>Spojené kráľovstvo</c:v>
                </c:pt>
                <c:pt idx="18">
                  <c:v>Poľsko</c:v>
                </c:pt>
                <c:pt idx="19">
                  <c:v>Portugalsko</c:v>
                </c:pt>
                <c:pt idx="20">
                  <c:v>Taliansko</c:v>
                </c:pt>
                <c:pt idx="21">
                  <c:v>Chorvátsko</c:v>
                </c:pt>
                <c:pt idx="22">
                  <c:v>Grécko</c:v>
                </c:pt>
                <c:pt idx="23">
                  <c:v>Estónsko</c:v>
                </c:pt>
                <c:pt idx="24">
                  <c:v>Bulharsko</c:v>
                </c:pt>
                <c:pt idx="25">
                  <c:v>Španielsko</c:v>
                </c:pt>
                <c:pt idx="26">
                  <c:v>Litva</c:v>
                </c:pt>
                <c:pt idx="27">
                  <c:v>Lotyšsko</c:v>
                </c:pt>
                <c:pt idx="28">
                  <c:v>Rumunsko</c:v>
                </c:pt>
              </c:strCache>
            </c:strRef>
          </c:cat>
          <c:val>
            <c:numRef>
              <c:f>Sheet0!$B$4:$B$32</c:f>
              <c:numCache>
                <c:formatCode>General</c:formatCode>
                <c:ptCount val="29"/>
                <c:pt idx="0">
                  <c:v>17.2</c:v>
                </c:pt>
                <c:pt idx="1">
                  <c:v>9.7000000000000011</c:v>
                </c:pt>
                <c:pt idx="2">
                  <c:v>11.6</c:v>
                </c:pt>
                <c:pt idx="3">
                  <c:v>12.1</c:v>
                </c:pt>
                <c:pt idx="4">
                  <c:v>12.6</c:v>
                </c:pt>
                <c:pt idx="5">
                  <c:v>12.8</c:v>
                </c:pt>
                <c:pt idx="6">
                  <c:v>13.3</c:v>
                </c:pt>
                <c:pt idx="7">
                  <c:v>14.1</c:v>
                </c:pt>
                <c:pt idx="8">
                  <c:v>14.5</c:v>
                </c:pt>
                <c:pt idx="9">
                  <c:v>15.1</c:v>
                </c:pt>
                <c:pt idx="10">
                  <c:v>15.5</c:v>
                </c:pt>
                <c:pt idx="11">
                  <c:v>15</c:v>
                </c:pt>
                <c:pt idx="12">
                  <c:v>16.399999999999999</c:v>
                </c:pt>
                <c:pt idx="13">
                  <c:v>15.6</c:v>
                </c:pt>
                <c:pt idx="14">
                  <c:v>14.4</c:v>
                </c:pt>
                <c:pt idx="15">
                  <c:v>15.9</c:v>
                </c:pt>
                <c:pt idx="16">
                  <c:v>16.7</c:v>
                </c:pt>
                <c:pt idx="17">
                  <c:v>16.8</c:v>
                </c:pt>
                <c:pt idx="18">
                  <c:v>17</c:v>
                </c:pt>
                <c:pt idx="19">
                  <c:v>19.5</c:v>
                </c:pt>
                <c:pt idx="20">
                  <c:v>19.399999999999999</c:v>
                </c:pt>
                <c:pt idx="21">
                  <c:v>19.399999999999999</c:v>
                </c:pt>
                <c:pt idx="22">
                  <c:v>22.1</c:v>
                </c:pt>
                <c:pt idx="23">
                  <c:v>21.8</c:v>
                </c:pt>
                <c:pt idx="24">
                  <c:v>21.8</c:v>
                </c:pt>
                <c:pt idx="25">
                  <c:v>22.2</c:v>
                </c:pt>
                <c:pt idx="26">
                  <c:v>19.100000000000001</c:v>
                </c:pt>
                <c:pt idx="27">
                  <c:v>21.2</c:v>
                </c:pt>
                <c:pt idx="28">
                  <c:v>25.1</c:v>
                </c:pt>
              </c:numCache>
            </c:numRef>
          </c:val>
          <c:extLst xmlns:c16r2="http://schemas.microsoft.com/office/drawing/2015/06/chart">
            <c:ext xmlns:c16="http://schemas.microsoft.com/office/drawing/2014/chart" uri="{C3380CC4-5D6E-409C-BE32-E72D297353CC}">
              <c16:uniqueId val="{00000000-555C-48DC-B2F7-F0873DCF14F2}"/>
            </c:ext>
          </c:extLst>
        </c:ser>
        <c:ser>
          <c:idx val="1"/>
          <c:order val="1"/>
          <c:tx>
            <c:strRef>
              <c:f>Sheet0!$C$3</c:f>
              <c:strCache>
                <c:ptCount val="1"/>
                <c:pt idx="0">
                  <c:v>2015</c:v>
                </c:pt>
              </c:strCache>
            </c:strRef>
          </c:tx>
          <c:spPr>
            <a:solidFill>
              <a:schemeClr val="accent2"/>
            </a:solidFill>
            <a:ln>
              <a:noFill/>
            </a:ln>
            <a:effectLst/>
          </c:spPr>
          <c:invertIfNegative val="0"/>
          <c:cat>
            <c:strRef>
              <c:f>Sheet0!$A$4:$A$32</c:f>
              <c:strCache>
                <c:ptCount val="29"/>
                <c:pt idx="0">
                  <c:v>Európska únia</c:v>
                </c:pt>
                <c:pt idx="1">
                  <c:v>Česká republika</c:v>
                </c:pt>
                <c:pt idx="2">
                  <c:v>Nizozemsko</c:v>
                </c:pt>
                <c:pt idx="3">
                  <c:v>Dánsko</c:v>
                </c:pt>
                <c:pt idx="4">
                  <c:v>Slovensko</c:v>
                </c:pt>
                <c:pt idx="5">
                  <c:v>Fínsko</c:v>
                </c:pt>
                <c:pt idx="6">
                  <c:v>Francúzsko</c:v>
                </c:pt>
                <c:pt idx="7">
                  <c:v>Rakúsko</c:v>
                </c:pt>
                <c:pt idx="8">
                  <c:v>Slovinsko</c:v>
                </c:pt>
                <c:pt idx="9">
                  <c:v>Švédsko</c:v>
                </c:pt>
                <c:pt idx="10">
                  <c:v>Belgicko</c:v>
                </c:pt>
                <c:pt idx="11">
                  <c:v>Maďarsko</c:v>
                </c:pt>
                <c:pt idx="12">
                  <c:v>Luxembourg</c:v>
                </c:pt>
                <c:pt idx="13">
                  <c:v>Írsko</c:v>
                </c:pt>
                <c:pt idx="14">
                  <c:v>Cyprus</c:v>
                </c:pt>
                <c:pt idx="15">
                  <c:v>Malta</c:v>
                </c:pt>
                <c:pt idx="16">
                  <c:v>Nemecko</c:v>
                </c:pt>
                <c:pt idx="17">
                  <c:v>Spojené kráľovstvo</c:v>
                </c:pt>
                <c:pt idx="18">
                  <c:v>Poľsko</c:v>
                </c:pt>
                <c:pt idx="19">
                  <c:v>Portugalsko</c:v>
                </c:pt>
                <c:pt idx="20">
                  <c:v>Taliansko</c:v>
                </c:pt>
                <c:pt idx="21">
                  <c:v>Chorvátsko</c:v>
                </c:pt>
                <c:pt idx="22">
                  <c:v>Grécko</c:v>
                </c:pt>
                <c:pt idx="23">
                  <c:v>Estónsko</c:v>
                </c:pt>
                <c:pt idx="24">
                  <c:v>Bulharsko</c:v>
                </c:pt>
                <c:pt idx="25">
                  <c:v>Španielsko</c:v>
                </c:pt>
                <c:pt idx="26">
                  <c:v>Litva</c:v>
                </c:pt>
                <c:pt idx="27">
                  <c:v>Lotyšsko</c:v>
                </c:pt>
                <c:pt idx="28">
                  <c:v>Rumunsko</c:v>
                </c:pt>
              </c:strCache>
            </c:strRef>
          </c:cat>
          <c:val>
            <c:numRef>
              <c:f>Sheet0!$C$4:$C$32</c:f>
              <c:numCache>
                <c:formatCode>General</c:formatCode>
                <c:ptCount val="29"/>
                <c:pt idx="0">
                  <c:v>17.3</c:v>
                </c:pt>
                <c:pt idx="1">
                  <c:v>9.7000000000000011</c:v>
                </c:pt>
                <c:pt idx="2">
                  <c:v>11.6</c:v>
                </c:pt>
                <c:pt idx="3">
                  <c:v>12.2</c:v>
                </c:pt>
                <c:pt idx="4">
                  <c:v>12.3</c:v>
                </c:pt>
                <c:pt idx="5">
                  <c:v>12.4</c:v>
                </c:pt>
                <c:pt idx="6">
                  <c:v>13.6</c:v>
                </c:pt>
                <c:pt idx="7">
                  <c:v>13.9</c:v>
                </c:pt>
                <c:pt idx="8">
                  <c:v>14.3</c:v>
                </c:pt>
                <c:pt idx="9">
                  <c:v>14.5</c:v>
                </c:pt>
                <c:pt idx="10">
                  <c:v>14.9</c:v>
                </c:pt>
                <c:pt idx="11">
                  <c:v>14.9</c:v>
                </c:pt>
                <c:pt idx="12">
                  <c:v>15.3</c:v>
                </c:pt>
                <c:pt idx="13">
                  <c:v>15.7</c:v>
                </c:pt>
                <c:pt idx="14">
                  <c:v>16.2</c:v>
                </c:pt>
                <c:pt idx="15">
                  <c:v>16.3</c:v>
                </c:pt>
                <c:pt idx="16">
                  <c:v>16.7</c:v>
                </c:pt>
                <c:pt idx="17">
                  <c:v>16.7</c:v>
                </c:pt>
                <c:pt idx="18">
                  <c:v>17.600000000000001</c:v>
                </c:pt>
                <c:pt idx="19">
                  <c:v>19.5</c:v>
                </c:pt>
                <c:pt idx="20">
                  <c:v>19.899999999999999</c:v>
                </c:pt>
                <c:pt idx="21">
                  <c:v>20</c:v>
                </c:pt>
                <c:pt idx="22">
                  <c:v>21.4</c:v>
                </c:pt>
                <c:pt idx="23">
                  <c:v>21.6</c:v>
                </c:pt>
                <c:pt idx="24">
                  <c:v>22</c:v>
                </c:pt>
                <c:pt idx="25">
                  <c:v>22.1</c:v>
                </c:pt>
                <c:pt idx="26">
                  <c:v>22.2</c:v>
                </c:pt>
                <c:pt idx="27">
                  <c:v>22.5</c:v>
                </c:pt>
                <c:pt idx="28">
                  <c:v>25.4</c:v>
                </c:pt>
              </c:numCache>
            </c:numRef>
          </c:val>
          <c:extLst xmlns:c16r2="http://schemas.microsoft.com/office/drawing/2015/06/chart">
            <c:ext xmlns:c16="http://schemas.microsoft.com/office/drawing/2014/chart" uri="{C3380CC4-5D6E-409C-BE32-E72D297353CC}">
              <c16:uniqueId val="{00000001-555C-48DC-B2F7-F0873DCF14F2}"/>
            </c:ext>
          </c:extLst>
        </c:ser>
        <c:dLbls>
          <c:showLegendKey val="0"/>
          <c:showVal val="0"/>
          <c:showCatName val="0"/>
          <c:showSerName val="0"/>
          <c:showPercent val="0"/>
          <c:showBubbleSize val="0"/>
        </c:dLbls>
        <c:gapWidth val="182"/>
        <c:axId val="416312024"/>
        <c:axId val="416310848"/>
      </c:barChart>
      <c:catAx>
        <c:axId val="416312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16310848"/>
        <c:crosses val="autoZero"/>
        <c:auto val="1"/>
        <c:lblAlgn val="ctr"/>
        <c:lblOffset val="100"/>
        <c:noMultiLvlLbl val="0"/>
      </c:catAx>
      <c:valAx>
        <c:axId val="416310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16312024"/>
        <c:crosses val="autoZero"/>
        <c:crossBetween val="between"/>
      </c:valAx>
      <c:spPr>
        <a:noFill/>
        <a:ln w="25400">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cat>
            <c:strRef>
              <c:f>Sheet0!$A$9:$A$36</c:f>
              <c:strCache>
                <c:ptCount val="28"/>
                <c:pt idx="0">
                  <c:v>Belgicko</c:v>
                </c:pt>
                <c:pt idx="1">
                  <c:v>Bulharsko</c:v>
                </c:pt>
                <c:pt idx="2">
                  <c:v>Česká republika</c:v>
                </c:pt>
                <c:pt idx="3">
                  <c:v>Dánsko</c:v>
                </c:pt>
                <c:pt idx="4">
                  <c:v>Nemecko</c:v>
                </c:pt>
                <c:pt idx="5">
                  <c:v>Estónsko</c:v>
                </c:pt>
                <c:pt idx="6">
                  <c:v>Írsko</c:v>
                </c:pt>
                <c:pt idx="7">
                  <c:v>Grécko</c:v>
                </c:pt>
                <c:pt idx="8">
                  <c:v>Španielsko</c:v>
                </c:pt>
                <c:pt idx="9">
                  <c:v>Francúzsko</c:v>
                </c:pt>
                <c:pt idx="10">
                  <c:v>Chorvátsko</c:v>
                </c:pt>
                <c:pt idx="11">
                  <c:v>Taliansko</c:v>
                </c:pt>
                <c:pt idx="12">
                  <c:v>Cyprus</c:v>
                </c:pt>
                <c:pt idx="13">
                  <c:v>Lotyšsko</c:v>
                </c:pt>
                <c:pt idx="14">
                  <c:v>Litva</c:v>
                </c:pt>
                <c:pt idx="15">
                  <c:v>Luxemburg</c:v>
                </c:pt>
                <c:pt idx="16">
                  <c:v>Maďarsko</c:v>
                </c:pt>
                <c:pt idx="17">
                  <c:v>Malta</c:v>
                </c:pt>
                <c:pt idx="18">
                  <c:v>Holandsko</c:v>
                </c:pt>
                <c:pt idx="19">
                  <c:v>Rakúsko</c:v>
                </c:pt>
                <c:pt idx="20">
                  <c:v>Poľsko</c:v>
                </c:pt>
                <c:pt idx="21">
                  <c:v>Portugalsko</c:v>
                </c:pt>
                <c:pt idx="22">
                  <c:v>Rumunsko</c:v>
                </c:pt>
                <c:pt idx="23">
                  <c:v>Slovinsko</c:v>
                </c:pt>
                <c:pt idx="24">
                  <c:v>Slovensko</c:v>
                </c:pt>
                <c:pt idx="25">
                  <c:v>Fínsko</c:v>
                </c:pt>
                <c:pt idx="26">
                  <c:v>Švédsko</c:v>
                </c:pt>
                <c:pt idx="27">
                  <c:v>Spojené kráľovstvo</c:v>
                </c:pt>
              </c:strCache>
            </c:strRef>
          </c:cat>
          <c:val>
            <c:numRef>
              <c:f>Sheet0!$B$9:$B$36</c:f>
              <c:numCache>
                <c:formatCode>General</c:formatCode>
                <c:ptCount val="28"/>
                <c:pt idx="0">
                  <c:v>143</c:v>
                </c:pt>
                <c:pt idx="1">
                  <c:v>-439</c:v>
                </c:pt>
                <c:pt idx="2">
                  <c:v>-122</c:v>
                </c:pt>
                <c:pt idx="3">
                  <c:v>112</c:v>
                </c:pt>
                <c:pt idx="4">
                  <c:v>-262</c:v>
                </c:pt>
                <c:pt idx="5">
                  <c:v>24</c:v>
                </c:pt>
                <c:pt idx="6">
                  <c:v>225</c:v>
                </c:pt>
                <c:pt idx="7">
                  <c:v>782</c:v>
                </c:pt>
                <c:pt idx="8">
                  <c:v>2389</c:v>
                </c:pt>
                <c:pt idx="9">
                  <c:v>-103</c:v>
                </c:pt>
                <c:pt idx="10">
                  <c:v>-105</c:v>
                </c:pt>
                <c:pt idx="11">
                  <c:v>2387</c:v>
                </c:pt>
                <c:pt idx="12">
                  <c:v>63</c:v>
                </c:pt>
                <c:pt idx="13">
                  <c:v>-134</c:v>
                </c:pt>
                <c:pt idx="14">
                  <c:v>-53</c:v>
                </c:pt>
                <c:pt idx="15">
                  <c:v>23</c:v>
                </c:pt>
                <c:pt idx="16">
                  <c:v>-59</c:v>
                </c:pt>
                <c:pt idx="17">
                  <c:v>14</c:v>
                </c:pt>
                <c:pt idx="18">
                  <c:v>312</c:v>
                </c:pt>
                <c:pt idx="19">
                  <c:v>-147</c:v>
                </c:pt>
                <c:pt idx="20">
                  <c:v>-2731</c:v>
                </c:pt>
                <c:pt idx="21">
                  <c:v>7</c:v>
                </c:pt>
                <c:pt idx="22">
                  <c:v>-1680</c:v>
                </c:pt>
                <c:pt idx="23">
                  <c:v>24</c:v>
                </c:pt>
                <c:pt idx="24">
                  <c:v>-148</c:v>
                </c:pt>
                <c:pt idx="25">
                  <c:v>-7</c:v>
                </c:pt>
                <c:pt idx="26">
                  <c:v>188</c:v>
                </c:pt>
                <c:pt idx="27">
                  <c:v>959</c:v>
                </c:pt>
              </c:numCache>
            </c:numRef>
          </c:val>
          <c:extLst xmlns:c16r2="http://schemas.microsoft.com/office/drawing/2015/06/chart">
            <c:ext xmlns:c16="http://schemas.microsoft.com/office/drawing/2014/chart" uri="{C3380CC4-5D6E-409C-BE32-E72D297353CC}">
              <c16:uniqueId val="{00000000-D926-454E-9194-EB485E240B4B}"/>
            </c:ext>
          </c:extLst>
        </c:ser>
        <c:dLbls>
          <c:showLegendKey val="0"/>
          <c:showVal val="0"/>
          <c:showCatName val="0"/>
          <c:showSerName val="0"/>
          <c:showPercent val="0"/>
          <c:showBubbleSize val="0"/>
        </c:dLbls>
        <c:gapWidth val="182"/>
        <c:axId val="416312808"/>
        <c:axId val="416312416"/>
      </c:barChart>
      <c:catAx>
        <c:axId val="416312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16312416"/>
        <c:crosses val="autoZero"/>
        <c:auto val="1"/>
        <c:lblAlgn val="ctr"/>
        <c:lblOffset val="100"/>
        <c:noMultiLvlLbl val="0"/>
      </c:catAx>
      <c:valAx>
        <c:axId val="4163124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16312808"/>
        <c:crosses val="autoZero"/>
        <c:crossBetween val="between"/>
      </c:valAx>
      <c:spPr>
        <a:noFill/>
        <a:ln>
          <a:noFill/>
        </a:ln>
        <a:effectLst/>
      </c:spPr>
    </c:plotArea>
    <c:plotVisOnly val="1"/>
    <c:dispBlanksAs val="gap"/>
    <c:showDLblsOverMax val="0"/>
  </c:chart>
  <c:spPr>
    <a:solidFill>
      <a:schemeClr val="bg1"/>
    </a:solidFill>
    <a:ln w="9525" cap="flat" cmpd="sng" algn="ctr">
      <a:solidFill>
        <a:sysClr val="windowText" lastClr="000000"/>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Times New Roman"/>
                <a:ea typeface="Times New Roman"/>
                <a:cs typeface="Times New Roman"/>
              </a:defRPr>
            </a:pPr>
            <a:r>
              <a:rPr lang="sk-SK"/>
              <a:t>Vývoz podľa tried výrobkov</a:t>
            </a:r>
          </a:p>
        </c:rich>
      </c:tx>
      <c:layout>
        <c:manualLayout>
          <c:xMode val="edge"/>
          <c:yMode val="edge"/>
          <c:x val="0.12962962962963001"/>
          <c:y val="0"/>
        </c:manualLayout>
      </c:layout>
      <c:overlay val="0"/>
      <c:spPr>
        <a:solidFill>
          <a:srgbClr val="FFFFFF"/>
        </a:solidFill>
        <a:ln w="25400">
          <a:noFill/>
        </a:ln>
      </c:spPr>
    </c:title>
    <c:autoTitleDeleted val="0"/>
    <c:plotArea>
      <c:layout>
        <c:manualLayout>
          <c:layoutTarget val="inner"/>
          <c:xMode val="edge"/>
          <c:yMode val="edge"/>
          <c:x val="0.10101010101010099"/>
          <c:y val="0.12812499999999999"/>
          <c:w val="0.51515151515151503"/>
          <c:h val="0.75"/>
        </c:manualLayout>
      </c:layout>
      <c:barChart>
        <c:barDir val="col"/>
        <c:grouping val="percentStacked"/>
        <c:varyColors val="0"/>
        <c:ser>
          <c:idx val="0"/>
          <c:order val="0"/>
          <c:tx>
            <c:strRef>
              <c:f>Sheet1!$A$2</c:f>
              <c:strCache>
                <c:ptCount val="1"/>
                <c:pt idx="0">
                  <c:v>Iné výrobky</c:v>
                </c:pt>
              </c:strCache>
            </c:strRef>
          </c:tx>
          <c:spPr>
            <a:solidFill>
              <a:srgbClr val="00CCFF"/>
            </a:solid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Sheet1!$B$2:$U$2</c:f>
              <c:numCache>
                <c:formatCode>General</c:formatCode>
                <c:ptCount val="20"/>
                <c:pt idx="0">
                  <c:v>46.5</c:v>
                </c:pt>
                <c:pt idx="1">
                  <c:v>41.8</c:v>
                </c:pt>
                <c:pt idx="2">
                  <c:v>40.4</c:v>
                </c:pt>
                <c:pt idx="3">
                  <c:v>37.5</c:v>
                </c:pt>
                <c:pt idx="4">
                  <c:v>38.9</c:v>
                </c:pt>
                <c:pt idx="5">
                  <c:v>38.299999999999997</c:v>
                </c:pt>
                <c:pt idx="6">
                  <c:v>32.4</c:v>
                </c:pt>
                <c:pt idx="7">
                  <c:v>31.7</c:v>
                </c:pt>
                <c:pt idx="8">
                  <c:v>31.6</c:v>
                </c:pt>
                <c:pt idx="9">
                  <c:v>29</c:v>
                </c:pt>
                <c:pt idx="10">
                  <c:v>26.6</c:v>
                </c:pt>
                <c:pt idx="11">
                  <c:v>25.9</c:v>
                </c:pt>
                <c:pt idx="12">
                  <c:v>27.5</c:v>
                </c:pt>
                <c:pt idx="13">
                  <c:v>32.71</c:v>
                </c:pt>
                <c:pt idx="14">
                  <c:v>32.36</c:v>
                </c:pt>
                <c:pt idx="15">
                  <c:v>32.409999999999997</c:v>
                </c:pt>
                <c:pt idx="16">
                  <c:v>31.92</c:v>
                </c:pt>
                <c:pt idx="17">
                  <c:v>31.97</c:v>
                </c:pt>
                <c:pt idx="18">
                  <c:v>31.54</c:v>
                </c:pt>
                <c:pt idx="19">
                  <c:v>30.63</c:v>
                </c:pt>
              </c:numCache>
            </c:numRef>
          </c:val>
          <c:extLst xmlns:c16r2="http://schemas.microsoft.com/office/drawing/2015/06/chart">
            <c:ext xmlns:c16="http://schemas.microsoft.com/office/drawing/2014/chart" uri="{C3380CC4-5D6E-409C-BE32-E72D297353CC}">
              <c16:uniqueId val="{00000000-9D65-44F6-A5FC-B3335B1DF52E}"/>
            </c:ext>
          </c:extLst>
        </c:ser>
        <c:ser>
          <c:idx val="1"/>
          <c:order val="1"/>
          <c:tx>
            <c:strRef>
              <c:f>Sheet1!$A$3</c:f>
              <c:strCache>
                <c:ptCount val="1"/>
                <c:pt idx="0">
                  <c:v>87 Vozidlá iné ako koľajové, ich časti a príslušenstvo</c:v>
                </c:pt>
              </c:strCache>
            </c:strRef>
          </c:tx>
          <c:spPr>
            <a:pattFill prst="lgCheck">
              <a:fgClr>
                <a:srgbClr xmlns:mc="http://schemas.openxmlformats.org/markup-compatibility/2006" xmlns:a14="http://schemas.microsoft.com/office/drawing/2010/main" val="800080" mc:Ignorable="a14" a14:legacySpreadsheetColorIndex="2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Sheet1!$B$3:$U$3</c:f>
              <c:numCache>
                <c:formatCode>General</c:formatCode>
                <c:ptCount val="20"/>
                <c:pt idx="0">
                  <c:v>10.9</c:v>
                </c:pt>
                <c:pt idx="1">
                  <c:v>18.8</c:v>
                </c:pt>
                <c:pt idx="2">
                  <c:v>19.100000000000001</c:v>
                </c:pt>
                <c:pt idx="3">
                  <c:v>20.9</c:v>
                </c:pt>
                <c:pt idx="4">
                  <c:v>18.8</c:v>
                </c:pt>
                <c:pt idx="5">
                  <c:v>20</c:v>
                </c:pt>
                <c:pt idx="6">
                  <c:v>27.7</c:v>
                </c:pt>
                <c:pt idx="7">
                  <c:v>22.9</c:v>
                </c:pt>
                <c:pt idx="8">
                  <c:v>18.2</c:v>
                </c:pt>
                <c:pt idx="9">
                  <c:v>20</c:v>
                </c:pt>
                <c:pt idx="10">
                  <c:v>23.5</c:v>
                </c:pt>
                <c:pt idx="11">
                  <c:v>21.7</c:v>
                </c:pt>
                <c:pt idx="12">
                  <c:v>19.8</c:v>
                </c:pt>
                <c:pt idx="13">
                  <c:v>18.39</c:v>
                </c:pt>
                <c:pt idx="14">
                  <c:v>19.28</c:v>
                </c:pt>
                <c:pt idx="15">
                  <c:v>21.32</c:v>
                </c:pt>
                <c:pt idx="16">
                  <c:v>21.91</c:v>
                </c:pt>
                <c:pt idx="17">
                  <c:v>22.13</c:v>
                </c:pt>
                <c:pt idx="18">
                  <c:v>24.01</c:v>
                </c:pt>
                <c:pt idx="19">
                  <c:v>25.28</c:v>
                </c:pt>
              </c:numCache>
            </c:numRef>
          </c:val>
          <c:extLst xmlns:c16r2="http://schemas.microsoft.com/office/drawing/2015/06/chart">
            <c:ext xmlns:c16="http://schemas.microsoft.com/office/drawing/2014/chart" uri="{C3380CC4-5D6E-409C-BE32-E72D297353CC}">
              <c16:uniqueId val="{00000001-9D65-44F6-A5FC-B3335B1DF52E}"/>
            </c:ext>
          </c:extLst>
        </c:ser>
        <c:ser>
          <c:idx val="2"/>
          <c:order val="2"/>
          <c:tx>
            <c:strRef>
              <c:f>Sheet1!$A$4</c:f>
              <c:strCache>
                <c:ptCount val="1"/>
                <c:pt idx="0">
                  <c:v>85 Elektrické stroje, prístroje a zariadenia (vrátane spotrebnej elektroniky)</c:v>
                </c:pt>
              </c:strCache>
            </c:strRef>
          </c:tx>
          <c:spPr>
            <a:pattFill prst="narVert">
              <a:fgClr>
                <a:srgbClr xmlns:mc="http://schemas.openxmlformats.org/markup-compatibility/2006" xmlns:a14="http://schemas.microsoft.com/office/drawing/2010/main" val="FF0000" mc:Ignorable="a14" a14:legacySpreadsheetColorIndex="10"/>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Sheet1!$B$4:$U$4</c:f>
              <c:numCache>
                <c:formatCode>General</c:formatCode>
                <c:ptCount val="20"/>
                <c:pt idx="0">
                  <c:v>7</c:v>
                </c:pt>
                <c:pt idx="1">
                  <c:v>7.8</c:v>
                </c:pt>
                <c:pt idx="2">
                  <c:v>8.3000000000000007</c:v>
                </c:pt>
                <c:pt idx="3">
                  <c:v>8.1</c:v>
                </c:pt>
                <c:pt idx="4">
                  <c:v>9.3000000000000007</c:v>
                </c:pt>
                <c:pt idx="5">
                  <c:v>9.5</c:v>
                </c:pt>
                <c:pt idx="6">
                  <c:v>9</c:v>
                </c:pt>
                <c:pt idx="7">
                  <c:v>10.5</c:v>
                </c:pt>
                <c:pt idx="8">
                  <c:v>13.2</c:v>
                </c:pt>
                <c:pt idx="9">
                  <c:v>17.100000000000001</c:v>
                </c:pt>
                <c:pt idx="10">
                  <c:v>19.7</c:v>
                </c:pt>
                <c:pt idx="11">
                  <c:v>22</c:v>
                </c:pt>
                <c:pt idx="12">
                  <c:v>25.8</c:v>
                </c:pt>
                <c:pt idx="13">
                  <c:v>22.14</c:v>
                </c:pt>
                <c:pt idx="14">
                  <c:v>19.13</c:v>
                </c:pt>
                <c:pt idx="15">
                  <c:v>18.690000000000001</c:v>
                </c:pt>
                <c:pt idx="16">
                  <c:v>18.75</c:v>
                </c:pt>
                <c:pt idx="17">
                  <c:v>19.100000000000001</c:v>
                </c:pt>
                <c:pt idx="18">
                  <c:v>18.670000000000009</c:v>
                </c:pt>
                <c:pt idx="19">
                  <c:v>18.68</c:v>
                </c:pt>
              </c:numCache>
            </c:numRef>
          </c:val>
          <c:extLst xmlns:c16r2="http://schemas.microsoft.com/office/drawing/2015/06/chart">
            <c:ext xmlns:c16="http://schemas.microsoft.com/office/drawing/2014/chart" uri="{C3380CC4-5D6E-409C-BE32-E72D297353CC}">
              <c16:uniqueId val="{00000002-9D65-44F6-A5FC-B3335B1DF52E}"/>
            </c:ext>
          </c:extLst>
        </c:ser>
        <c:ser>
          <c:idx val="3"/>
          <c:order val="3"/>
          <c:tx>
            <c:strRef>
              <c:f>Sheet1!$A$5</c:f>
              <c:strCache>
                <c:ptCount val="1"/>
                <c:pt idx="0">
                  <c:v>84 Jadrové reaktory, kotly, stroje, prístroje, časti</c:v>
                </c:pt>
              </c:strCache>
            </c:strRef>
          </c:tx>
          <c:spPr>
            <a:pattFill prst="smGrid">
              <a:fgClr>
                <a:srgbClr xmlns:mc="http://schemas.openxmlformats.org/markup-compatibility/2006" xmlns:a14="http://schemas.microsoft.com/office/drawing/2010/main" val="339966" mc:Ignorable="a14" a14:legacySpreadsheetColorIndex="57"/>
              </a:fgClr>
              <a:bgClr>
                <a:srgbClr xmlns:mc="http://schemas.openxmlformats.org/markup-compatibility/2006" xmlns:a14="http://schemas.microsoft.com/office/drawing/2010/main" val="FFFFFF" mc:Ignorable="a14" a14:legacySpreadsheetColorIndex="9"/>
              </a:bgClr>
            </a:patt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Sheet1!$B$5:$U$5</c:f>
              <c:numCache>
                <c:formatCode>General</c:formatCode>
                <c:ptCount val="20"/>
                <c:pt idx="0">
                  <c:v>8.1</c:v>
                </c:pt>
                <c:pt idx="1">
                  <c:v>8.2000000000000011</c:v>
                </c:pt>
                <c:pt idx="2">
                  <c:v>10.199999999999999</c:v>
                </c:pt>
                <c:pt idx="3">
                  <c:v>9.4</c:v>
                </c:pt>
                <c:pt idx="4">
                  <c:v>9.5</c:v>
                </c:pt>
                <c:pt idx="5">
                  <c:v>9.3000000000000007</c:v>
                </c:pt>
                <c:pt idx="6">
                  <c:v>9.8000000000000007</c:v>
                </c:pt>
                <c:pt idx="7">
                  <c:v>11.3</c:v>
                </c:pt>
                <c:pt idx="8">
                  <c:v>12.4</c:v>
                </c:pt>
                <c:pt idx="9">
                  <c:v>11.2</c:v>
                </c:pt>
                <c:pt idx="10">
                  <c:v>10</c:v>
                </c:pt>
                <c:pt idx="11">
                  <c:v>10.1</c:v>
                </c:pt>
                <c:pt idx="12">
                  <c:v>9.5</c:v>
                </c:pt>
                <c:pt idx="13">
                  <c:v>9.19</c:v>
                </c:pt>
                <c:pt idx="14">
                  <c:v>10.26</c:v>
                </c:pt>
                <c:pt idx="15">
                  <c:v>10.26</c:v>
                </c:pt>
                <c:pt idx="16">
                  <c:v>10.97</c:v>
                </c:pt>
                <c:pt idx="17">
                  <c:v>11.13</c:v>
                </c:pt>
                <c:pt idx="18">
                  <c:v>11.06</c:v>
                </c:pt>
                <c:pt idx="19">
                  <c:v>11.28</c:v>
                </c:pt>
              </c:numCache>
            </c:numRef>
          </c:val>
          <c:extLst xmlns:c16r2="http://schemas.microsoft.com/office/drawing/2015/06/chart">
            <c:ext xmlns:c16="http://schemas.microsoft.com/office/drawing/2014/chart" uri="{C3380CC4-5D6E-409C-BE32-E72D297353CC}">
              <c16:uniqueId val="{00000003-9D65-44F6-A5FC-B3335B1DF52E}"/>
            </c:ext>
          </c:extLst>
        </c:ser>
        <c:ser>
          <c:idx val="4"/>
          <c:order val="4"/>
          <c:tx>
            <c:strRef>
              <c:f>Sheet1!$A$6</c:f>
              <c:strCache>
                <c:ptCount val="1"/>
                <c:pt idx="0">
                  <c:v>27 Nerastné palivá, min.oleje, živičné látky a vosky</c:v>
                </c:pt>
              </c:strCache>
            </c:strRef>
          </c:tx>
          <c:spPr>
            <a:solidFill>
              <a:srgbClr val="99CC00"/>
            </a:solid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Sheet1!$B$6:$U$6</c:f>
              <c:numCache>
                <c:formatCode>General</c:formatCode>
                <c:ptCount val="20"/>
                <c:pt idx="0">
                  <c:v>4.5999999999999996</c:v>
                </c:pt>
                <c:pt idx="1">
                  <c:v>3.5</c:v>
                </c:pt>
                <c:pt idx="2">
                  <c:v>4.8</c:v>
                </c:pt>
                <c:pt idx="3">
                  <c:v>7</c:v>
                </c:pt>
                <c:pt idx="4">
                  <c:v>6.6</c:v>
                </c:pt>
                <c:pt idx="5">
                  <c:v>6.1</c:v>
                </c:pt>
                <c:pt idx="6">
                  <c:v>5.2</c:v>
                </c:pt>
                <c:pt idx="7">
                  <c:v>6.4</c:v>
                </c:pt>
                <c:pt idx="8">
                  <c:v>6.8</c:v>
                </c:pt>
                <c:pt idx="9">
                  <c:v>5.9</c:v>
                </c:pt>
                <c:pt idx="10">
                  <c:v>4.7</c:v>
                </c:pt>
                <c:pt idx="11">
                  <c:v>5.0999999999999996</c:v>
                </c:pt>
                <c:pt idx="12">
                  <c:v>4.5999999999999996</c:v>
                </c:pt>
                <c:pt idx="13">
                  <c:v>4.38</c:v>
                </c:pt>
                <c:pt idx="14">
                  <c:v>5.78</c:v>
                </c:pt>
                <c:pt idx="15">
                  <c:v>5.3599999999999977</c:v>
                </c:pt>
                <c:pt idx="16">
                  <c:v>5.0199999999999996</c:v>
                </c:pt>
                <c:pt idx="17">
                  <c:v>4.25</c:v>
                </c:pt>
                <c:pt idx="18">
                  <c:v>3.31</c:v>
                </c:pt>
                <c:pt idx="19">
                  <c:v>2.99</c:v>
                </c:pt>
              </c:numCache>
            </c:numRef>
          </c:val>
          <c:extLst xmlns:c16r2="http://schemas.microsoft.com/office/drawing/2015/06/chart">
            <c:ext xmlns:c16="http://schemas.microsoft.com/office/drawing/2014/chart" uri="{C3380CC4-5D6E-409C-BE32-E72D297353CC}">
              <c16:uniqueId val="{00000004-9D65-44F6-A5FC-B3335B1DF52E}"/>
            </c:ext>
          </c:extLst>
        </c:ser>
        <c:ser>
          <c:idx val="5"/>
          <c:order val="5"/>
          <c:tx>
            <c:strRef>
              <c:f>Sheet1!$A$7</c:f>
              <c:strCache>
                <c:ptCount val="1"/>
                <c:pt idx="0">
                  <c:v>72 Železo a oceľ</c:v>
                </c:pt>
              </c:strCache>
            </c:strRef>
          </c:tx>
          <c:spPr>
            <a:solidFill>
              <a:srgbClr val="333300"/>
            </a:solid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Sheet1!$B$7:$U$7</c:f>
              <c:numCache>
                <c:formatCode>General</c:formatCode>
                <c:ptCount val="20"/>
                <c:pt idx="0">
                  <c:v>12.4</c:v>
                </c:pt>
                <c:pt idx="1">
                  <c:v>10.6</c:v>
                </c:pt>
                <c:pt idx="2">
                  <c:v>8.1</c:v>
                </c:pt>
                <c:pt idx="3">
                  <c:v>8.6</c:v>
                </c:pt>
                <c:pt idx="4">
                  <c:v>8.3000000000000007</c:v>
                </c:pt>
                <c:pt idx="5">
                  <c:v>7.7</c:v>
                </c:pt>
                <c:pt idx="6">
                  <c:v>7.6</c:v>
                </c:pt>
                <c:pt idx="7">
                  <c:v>8.6</c:v>
                </c:pt>
                <c:pt idx="8">
                  <c:v>8.5</c:v>
                </c:pt>
                <c:pt idx="9">
                  <c:v>7.8</c:v>
                </c:pt>
                <c:pt idx="10">
                  <c:v>6.9</c:v>
                </c:pt>
                <c:pt idx="11">
                  <c:v>7.1</c:v>
                </c:pt>
                <c:pt idx="12">
                  <c:v>5.3</c:v>
                </c:pt>
                <c:pt idx="13">
                  <c:v>5.93</c:v>
                </c:pt>
                <c:pt idx="14">
                  <c:v>5.52</c:v>
                </c:pt>
                <c:pt idx="15">
                  <c:v>4.9000000000000004</c:v>
                </c:pt>
                <c:pt idx="16">
                  <c:v>4.46</c:v>
                </c:pt>
                <c:pt idx="17">
                  <c:v>4.28</c:v>
                </c:pt>
                <c:pt idx="18">
                  <c:v>3.79</c:v>
                </c:pt>
                <c:pt idx="19">
                  <c:v>3.59</c:v>
                </c:pt>
              </c:numCache>
            </c:numRef>
          </c:val>
          <c:extLst xmlns:c16r2="http://schemas.microsoft.com/office/drawing/2015/06/chart">
            <c:ext xmlns:c16="http://schemas.microsoft.com/office/drawing/2014/chart" uri="{C3380CC4-5D6E-409C-BE32-E72D297353CC}">
              <c16:uniqueId val="{00000005-9D65-44F6-A5FC-B3335B1DF52E}"/>
            </c:ext>
          </c:extLst>
        </c:ser>
        <c:ser>
          <c:idx val="6"/>
          <c:order val="6"/>
          <c:tx>
            <c:strRef>
              <c:f>Sheet1!$A$8</c:f>
              <c:strCache>
                <c:ptCount val="1"/>
                <c:pt idx="0">
                  <c:v>39 Plasty a výrobky z nich</c:v>
                </c:pt>
              </c:strCache>
            </c:strRef>
          </c:tx>
          <c:spPr>
            <a:solidFill>
              <a:srgbClr val="CC99FF"/>
            </a:solid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Sheet1!$B$8:$U$8</c:f>
              <c:numCache>
                <c:formatCode>General</c:formatCode>
                <c:ptCount val="20"/>
                <c:pt idx="0">
                  <c:v>4.4000000000000004</c:v>
                </c:pt>
                <c:pt idx="1">
                  <c:v>3.7</c:v>
                </c:pt>
                <c:pt idx="2">
                  <c:v>3.6</c:v>
                </c:pt>
                <c:pt idx="3">
                  <c:v>3.6</c:v>
                </c:pt>
                <c:pt idx="4">
                  <c:v>3.2</c:v>
                </c:pt>
                <c:pt idx="5">
                  <c:v>3.2</c:v>
                </c:pt>
                <c:pt idx="6">
                  <c:v>2.7</c:v>
                </c:pt>
                <c:pt idx="7">
                  <c:v>2.8</c:v>
                </c:pt>
                <c:pt idx="8">
                  <c:v>3.3</c:v>
                </c:pt>
                <c:pt idx="9">
                  <c:v>3.4</c:v>
                </c:pt>
                <c:pt idx="10">
                  <c:v>3.3</c:v>
                </c:pt>
                <c:pt idx="11">
                  <c:v>2.8</c:v>
                </c:pt>
                <c:pt idx="12">
                  <c:v>3</c:v>
                </c:pt>
                <c:pt idx="13">
                  <c:v>2.85</c:v>
                </c:pt>
                <c:pt idx="14">
                  <c:v>2.97</c:v>
                </c:pt>
                <c:pt idx="15">
                  <c:v>2.5</c:v>
                </c:pt>
                <c:pt idx="16">
                  <c:v>2.5299999999999998</c:v>
                </c:pt>
                <c:pt idx="17">
                  <c:v>2.65</c:v>
                </c:pt>
                <c:pt idx="18">
                  <c:v>2.82</c:v>
                </c:pt>
                <c:pt idx="19">
                  <c:v>2.77</c:v>
                </c:pt>
              </c:numCache>
            </c:numRef>
          </c:val>
          <c:extLst xmlns:c16r2="http://schemas.microsoft.com/office/drawing/2015/06/chart">
            <c:ext xmlns:c16="http://schemas.microsoft.com/office/drawing/2014/chart" uri="{C3380CC4-5D6E-409C-BE32-E72D297353CC}">
              <c16:uniqueId val="{00000006-9D65-44F6-A5FC-B3335B1DF52E}"/>
            </c:ext>
          </c:extLst>
        </c:ser>
        <c:ser>
          <c:idx val="7"/>
          <c:order val="7"/>
          <c:tx>
            <c:strRef>
              <c:f>Sheet1!$A$9</c:f>
              <c:strCache>
                <c:ptCount val="1"/>
                <c:pt idx="0">
                  <c:v>73 Výrobky zo železa alebo ocele</c:v>
                </c:pt>
              </c:strCache>
            </c:strRef>
          </c:tx>
          <c:spPr>
            <a:solidFill>
              <a:srgbClr val="CCCCFF"/>
            </a:solid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Sheet1!$B$9:$U$9</c:f>
              <c:numCache>
                <c:formatCode>General</c:formatCode>
                <c:ptCount val="20"/>
                <c:pt idx="0">
                  <c:v>3.8</c:v>
                </c:pt>
                <c:pt idx="1">
                  <c:v>3.5</c:v>
                </c:pt>
                <c:pt idx="2">
                  <c:v>3.5</c:v>
                </c:pt>
                <c:pt idx="3">
                  <c:v>3.1</c:v>
                </c:pt>
                <c:pt idx="4">
                  <c:v>3.3</c:v>
                </c:pt>
                <c:pt idx="5">
                  <c:v>3.3</c:v>
                </c:pt>
                <c:pt idx="6">
                  <c:v>3.1</c:v>
                </c:pt>
                <c:pt idx="7">
                  <c:v>3.3</c:v>
                </c:pt>
                <c:pt idx="8">
                  <c:v>3.4</c:v>
                </c:pt>
                <c:pt idx="9">
                  <c:v>3.3</c:v>
                </c:pt>
                <c:pt idx="10">
                  <c:v>3.3</c:v>
                </c:pt>
                <c:pt idx="11">
                  <c:v>3.4</c:v>
                </c:pt>
                <c:pt idx="12">
                  <c:v>2.7</c:v>
                </c:pt>
                <c:pt idx="13">
                  <c:v>2.42</c:v>
                </c:pt>
                <c:pt idx="14">
                  <c:v>2.5</c:v>
                </c:pt>
                <c:pt idx="15">
                  <c:v>2.31</c:v>
                </c:pt>
                <c:pt idx="16">
                  <c:v>2.09</c:v>
                </c:pt>
                <c:pt idx="17">
                  <c:v>2.13</c:v>
                </c:pt>
                <c:pt idx="18">
                  <c:v>2.06</c:v>
                </c:pt>
                <c:pt idx="19">
                  <c:v>2.09</c:v>
                </c:pt>
              </c:numCache>
            </c:numRef>
          </c:val>
          <c:extLst xmlns:c16r2="http://schemas.microsoft.com/office/drawing/2015/06/chart">
            <c:ext xmlns:c16="http://schemas.microsoft.com/office/drawing/2014/chart" uri="{C3380CC4-5D6E-409C-BE32-E72D297353CC}">
              <c16:uniqueId val="{00000007-9D65-44F6-A5FC-B3335B1DF52E}"/>
            </c:ext>
          </c:extLst>
        </c:ser>
        <c:ser>
          <c:idx val="8"/>
          <c:order val="8"/>
          <c:tx>
            <c:strRef>
              <c:f>Sheet1!$A$10</c:f>
              <c:strCache>
                <c:ptCount val="1"/>
                <c:pt idx="0">
                  <c:v>40 Kaučuk a výrobky z neho</c:v>
                </c:pt>
              </c:strCache>
            </c:strRef>
          </c:tx>
          <c:spPr>
            <a:solidFill>
              <a:srgbClr val="FFFF00"/>
            </a:solidFill>
            <a:ln w="12700">
              <a:solidFill>
                <a:srgbClr val="000000"/>
              </a:solidFill>
              <a:prstDash val="solid"/>
            </a:ln>
          </c:spPr>
          <c:invertIfNegative val="0"/>
          <c:cat>
            <c:numRef>
              <c:f>Sheet1!$B$1:$U$1</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Sheet1!$B$10:$U$10</c:f>
              <c:numCache>
                <c:formatCode>General</c:formatCode>
                <c:ptCount val="20"/>
                <c:pt idx="0">
                  <c:v>2.2999999999999998</c:v>
                </c:pt>
                <c:pt idx="1">
                  <c:v>2.1</c:v>
                </c:pt>
                <c:pt idx="2">
                  <c:v>2</c:v>
                </c:pt>
                <c:pt idx="3">
                  <c:v>1.8</c:v>
                </c:pt>
                <c:pt idx="4">
                  <c:v>2.1</c:v>
                </c:pt>
                <c:pt idx="5">
                  <c:v>2.6</c:v>
                </c:pt>
                <c:pt idx="6">
                  <c:v>2.5</c:v>
                </c:pt>
                <c:pt idx="7">
                  <c:v>2.5</c:v>
                </c:pt>
                <c:pt idx="8">
                  <c:v>2.6</c:v>
                </c:pt>
                <c:pt idx="9">
                  <c:v>2.2999999999999998</c:v>
                </c:pt>
                <c:pt idx="10">
                  <c:v>2</c:v>
                </c:pt>
                <c:pt idx="11">
                  <c:v>1.9</c:v>
                </c:pt>
                <c:pt idx="12">
                  <c:v>1.8</c:v>
                </c:pt>
                <c:pt idx="13">
                  <c:v>1.99</c:v>
                </c:pt>
                <c:pt idx="14">
                  <c:v>2.21</c:v>
                </c:pt>
                <c:pt idx="15">
                  <c:v>2.25</c:v>
                </c:pt>
                <c:pt idx="16">
                  <c:v>2.33</c:v>
                </c:pt>
                <c:pt idx="17">
                  <c:v>2.35</c:v>
                </c:pt>
                <c:pt idx="18">
                  <c:v>2.74</c:v>
                </c:pt>
                <c:pt idx="19">
                  <c:v>2.7</c:v>
                </c:pt>
              </c:numCache>
            </c:numRef>
          </c:val>
          <c:extLst xmlns:c16r2="http://schemas.microsoft.com/office/drawing/2015/06/chart">
            <c:ext xmlns:c16="http://schemas.microsoft.com/office/drawing/2014/chart" uri="{C3380CC4-5D6E-409C-BE32-E72D297353CC}">
              <c16:uniqueId val="{00000008-9D65-44F6-A5FC-B3335B1DF52E}"/>
            </c:ext>
          </c:extLst>
        </c:ser>
        <c:dLbls>
          <c:showLegendKey val="0"/>
          <c:showVal val="0"/>
          <c:showCatName val="0"/>
          <c:showSerName val="0"/>
          <c:showPercent val="0"/>
          <c:showBubbleSize val="0"/>
        </c:dLbls>
        <c:gapWidth val="20"/>
        <c:overlap val="100"/>
        <c:axId val="493405024"/>
        <c:axId val="493405416"/>
      </c:barChart>
      <c:catAx>
        <c:axId val="493405024"/>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sz="1025" b="0" i="0" u="none" strike="noStrike" baseline="0">
                <a:solidFill>
                  <a:srgbClr val="000000"/>
                </a:solidFill>
                <a:latin typeface="Times New Roman"/>
                <a:ea typeface="Times New Roman"/>
                <a:cs typeface="Times New Roman"/>
              </a:defRPr>
            </a:pPr>
            <a:endParaRPr lang="cs-CZ"/>
          </a:p>
        </c:txPr>
        <c:crossAx val="493405416"/>
        <c:crosses val="autoZero"/>
        <c:auto val="1"/>
        <c:lblAlgn val="ctr"/>
        <c:lblOffset val="100"/>
        <c:tickLblSkip val="1"/>
        <c:tickMarkSkip val="1"/>
        <c:noMultiLvlLbl val="0"/>
      </c:catAx>
      <c:valAx>
        <c:axId val="493405416"/>
        <c:scaling>
          <c:orientation val="minMax"/>
          <c:max val="1"/>
          <c:min val="0"/>
        </c:scaling>
        <c:delete val="0"/>
        <c:axPos val="l"/>
        <c:majorGridlines>
          <c:spPr>
            <a:ln w="3175">
              <a:solidFill>
                <a:srgbClr val="000000"/>
              </a:solidFill>
              <a:prstDash val="sysDash"/>
            </a:ln>
          </c:spPr>
        </c:majorGridlines>
        <c:numFmt formatCode="0%" sourceLinked="0"/>
        <c:majorTickMark val="out"/>
        <c:minorTickMark val="none"/>
        <c:tickLblPos val="nextTo"/>
        <c:spPr>
          <a:ln w="3175">
            <a:solidFill>
              <a:srgbClr val="000000"/>
            </a:solidFill>
            <a:prstDash val="solid"/>
          </a:ln>
        </c:spPr>
        <c:txPr>
          <a:bodyPr rot="0" vert="horz"/>
          <a:lstStyle/>
          <a:p>
            <a:pPr>
              <a:defRPr sz="1075" b="0" i="0" u="none" strike="noStrike" baseline="0">
                <a:solidFill>
                  <a:srgbClr val="000000"/>
                </a:solidFill>
                <a:latin typeface="Times New Roman"/>
                <a:ea typeface="Times New Roman"/>
                <a:cs typeface="Times New Roman"/>
              </a:defRPr>
            </a:pPr>
            <a:endParaRPr lang="cs-CZ"/>
          </a:p>
        </c:txPr>
        <c:crossAx val="493405024"/>
        <c:crosses val="autoZero"/>
        <c:crossBetween val="between"/>
        <c:majorUnit val="0.1"/>
        <c:minorUnit val="2E-3"/>
      </c:valAx>
      <c:spPr>
        <a:solidFill>
          <a:srgbClr val="FFFFFF"/>
        </a:solidFill>
        <a:ln w="12700">
          <a:solidFill>
            <a:srgbClr val="808080"/>
          </a:solidFill>
          <a:prstDash val="solid"/>
        </a:ln>
      </c:spPr>
    </c:plotArea>
    <c:legend>
      <c:legendPos val="r"/>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cs-CZ"/>
        </a:p>
      </c:txPr>
    </c:legend>
    <c:plotVisOnly val="1"/>
    <c:dispBlanksAs val="gap"/>
    <c:showDLblsOverMax val="0"/>
  </c:chart>
  <c:spPr>
    <a:solidFill>
      <a:srgbClr val="FFFFFF"/>
    </a:solidFill>
    <a:ln w="19050" cap="flat" cmpd="sng" algn="ctr">
      <a:solidFill>
        <a:srgbClr val="000000"/>
      </a:solidFill>
      <a:prstDash val="solid"/>
      <a:miter lim="800000"/>
      <a:headEnd type="none" w="med" len="med"/>
      <a:tailEnd type="none" w="med" len="med"/>
    </a:ln>
  </c:spPr>
  <c:txPr>
    <a:bodyPr/>
    <a:lstStyle/>
    <a:p>
      <a:pPr>
        <a:defRPr sz="1200" b="1" i="0" u="none" strike="noStrike" baseline="0">
          <a:solidFill>
            <a:srgbClr val="000000"/>
          </a:solidFill>
          <a:latin typeface="Arial CE"/>
          <a:ea typeface="Arial CE"/>
          <a:cs typeface="Arial CE"/>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k-SK"/>
              <a:t>Podiel výdavkov na výskum a vývoj na HDP (%)</a:t>
            </a:r>
          </a:p>
        </c:rich>
      </c:tx>
      <c:layout>
        <c:manualLayout>
          <c:xMode val="edge"/>
          <c:yMode val="edge"/>
          <c:x val="0.22053872053872101"/>
          <c:y val="0"/>
        </c:manualLayout>
      </c:layout>
      <c:overlay val="0"/>
      <c:spPr>
        <a:solidFill>
          <a:srgbClr val="FFFFFF"/>
        </a:solidFill>
        <a:ln w="25399">
          <a:noFill/>
        </a:ln>
      </c:spPr>
    </c:title>
    <c:autoTitleDeleted val="0"/>
    <c:plotArea>
      <c:layout>
        <c:manualLayout>
          <c:layoutTarget val="inner"/>
          <c:xMode val="edge"/>
          <c:yMode val="edge"/>
          <c:x val="0.101728724587393"/>
          <c:y val="0.13981403239229201"/>
          <c:w val="0.85124427243204803"/>
          <c:h val="0.73964758978298395"/>
        </c:manualLayout>
      </c:layout>
      <c:lineChart>
        <c:grouping val="standard"/>
        <c:varyColors val="0"/>
        <c:ser>
          <c:idx val="0"/>
          <c:order val="0"/>
          <c:tx>
            <c:strRef>
              <c:f>Sheet1!$A$2</c:f>
              <c:strCache>
                <c:ptCount val="1"/>
                <c:pt idx="0">
                  <c:v>CZ</c:v>
                </c:pt>
              </c:strCache>
            </c:strRef>
          </c:tx>
          <c:spPr>
            <a:ln w="25399">
              <a:solidFill>
                <a:srgbClr val="800000"/>
              </a:solidFill>
              <a:prstDash val="solid"/>
            </a:ln>
          </c:spPr>
          <c:marker>
            <c:symbol val="circle"/>
            <c:size val="4"/>
            <c:spPr>
              <a:solidFill>
                <a:srgbClr val="FFFFFF"/>
              </a:solidFill>
              <a:ln>
                <a:solidFill>
                  <a:srgbClr val="800000"/>
                </a:solidFill>
                <a:prstDash val="solid"/>
              </a:ln>
            </c:spPr>
          </c:marker>
          <c:cat>
            <c:numRef>
              <c:f>Sheet1!$B$1:$W$1</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Sheet1!$B$2:$W$2</c:f>
              <c:numCache>
                <c:formatCode>#,##0.00</c:formatCode>
                <c:ptCount val="22"/>
                <c:pt idx="0">
                  <c:v>0.88</c:v>
                </c:pt>
                <c:pt idx="1">
                  <c:v>0.89</c:v>
                </c:pt>
                <c:pt idx="2">
                  <c:v>0.99</c:v>
                </c:pt>
                <c:pt idx="3">
                  <c:v>1.07</c:v>
                </c:pt>
                <c:pt idx="4">
                  <c:v>1.05</c:v>
                </c:pt>
                <c:pt idx="5">
                  <c:v>1.1100000000000001</c:v>
                </c:pt>
                <c:pt idx="6" formatCode="#,##0.0">
                  <c:v>1.1000000000000001</c:v>
                </c:pt>
                <c:pt idx="7" formatCode="#,##0.0">
                  <c:v>1.1000000000000001</c:v>
                </c:pt>
                <c:pt idx="8">
                  <c:v>1.1499999999999999</c:v>
                </c:pt>
                <c:pt idx="9">
                  <c:v>1.1499999999999999</c:v>
                </c:pt>
                <c:pt idx="10">
                  <c:v>1.17</c:v>
                </c:pt>
                <c:pt idx="11">
                  <c:v>1.23</c:v>
                </c:pt>
                <c:pt idx="12" formatCode="#,##0.0">
                  <c:v>1.3</c:v>
                </c:pt>
                <c:pt idx="13">
                  <c:v>1.24</c:v>
                </c:pt>
                <c:pt idx="14">
                  <c:v>1.29</c:v>
                </c:pt>
                <c:pt idx="15">
                  <c:v>1.34</c:v>
                </c:pt>
                <c:pt idx="16">
                  <c:v>1.56</c:v>
                </c:pt>
                <c:pt idx="17">
                  <c:v>1.78</c:v>
                </c:pt>
                <c:pt idx="18" formatCode="#,##0.0">
                  <c:v>1.9</c:v>
                </c:pt>
                <c:pt idx="19">
                  <c:v>1.97</c:v>
                </c:pt>
                <c:pt idx="20">
                  <c:v>1.93</c:v>
                </c:pt>
                <c:pt idx="21">
                  <c:v>1.68</c:v>
                </c:pt>
              </c:numCache>
            </c:numRef>
          </c:val>
          <c:smooth val="1"/>
          <c:extLst xmlns:c16r2="http://schemas.microsoft.com/office/drawing/2015/06/chart">
            <c:ext xmlns:c16="http://schemas.microsoft.com/office/drawing/2014/chart" uri="{C3380CC4-5D6E-409C-BE32-E72D297353CC}">
              <c16:uniqueId val="{00000000-0A22-4C63-817A-D43295204506}"/>
            </c:ext>
          </c:extLst>
        </c:ser>
        <c:ser>
          <c:idx val="2"/>
          <c:order val="1"/>
          <c:tx>
            <c:strRef>
              <c:f>Sheet1!$A$3</c:f>
              <c:strCache>
                <c:ptCount val="1"/>
                <c:pt idx="0">
                  <c:v>HU</c:v>
                </c:pt>
              </c:strCache>
            </c:strRef>
          </c:tx>
          <c:spPr>
            <a:ln w="25399">
              <a:solidFill>
                <a:srgbClr val="008000"/>
              </a:solidFill>
              <a:prstDash val="solid"/>
            </a:ln>
          </c:spPr>
          <c:marker>
            <c:symbol val="square"/>
            <c:size val="4"/>
            <c:spPr>
              <a:solidFill>
                <a:srgbClr val="FFFFFF"/>
              </a:solidFill>
              <a:ln>
                <a:solidFill>
                  <a:srgbClr val="008000"/>
                </a:solidFill>
                <a:prstDash val="solid"/>
              </a:ln>
            </c:spPr>
          </c:marker>
          <c:cat>
            <c:numRef>
              <c:f>Sheet1!$B$1:$W$1</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Sheet1!$B$3:$W$3</c:f>
              <c:numCache>
                <c:formatCode>#,##0.00</c:formatCode>
                <c:ptCount val="22"/>
                <c:pt idx="0">
                  <c:v>0.71</c:v>
                </c:pt>
                <c:pt idx="1">
                  <c:v>0.63</c:v>
                </c:pt>
                <c:pt idx="2" formatCode="#,##0.0">
                  <c:v>0.7</c:v>
                </c:pt>
                <c:pt idx="3">
                  <c:v>0.66</c:v>
                </c:pt>
                <c:pt idx="4">
                  <c:v>0.67</c:v>
                </c:pt>
                <c:pt idx="5">
                  <c:v>0.79</c:v>
                </c:pt>
                <c:pt idx="6">
                  <c:v>0.91</c:v>
                </c:pt>
                <c:pt idx="7">
                  <c:v>0.98</c:v>
                </c:pt>
                <c:pt idx="8">
                  <c:v>0.92</c:v>
                </c:pt>
                <c:pt idx="9">
                  <c:v>0.86</c:v>
                </c:pt>
                <c:pt idx="10">
                  <c:v>0.92</c:v>
                </c:pt>
                <c:pt idx="11">
                  <c:v>0.98</c:v>
                </c:pt>
                <c:pt idx="12">
                  <c:v>0.96</c:v>
                </c:pt>
                <c:pt idx="13">
                  <c:v>0.98</c:v>
                </c:pt>
                <c:pt idx="14">
                  <c:v>1.1299999999999999</c:v>
                </c:pt>
                <c:pt idx="15">
                  <c:v>1.1399999999999999</c:v>
                </c:pt>
                <c:pt idx="16">
                  <c:v>1.19</c:v>
                </c:pt>
                <c:pt idx="17">
                  <c:v>1.26</c:v>
                </c:pt>
                <c:pt idx="18">
                  <c:v>1.39</c:v>
                </c:pt>
                <c:pt idx="19">
                  <c:v>1.35</c:v>
                </c:pt>
                <c:pt idx="20">
                  <c:v>1.36</c:v>
                </c:pt>
                <c:pt idx="21">
                  <c:v>1.21</c:v>
                </c:pt>
              </c:numCache>
            </c:numRef>
          </c:val>
          <c:smooth val="1"/>
          <c:extLst xmlns:c16r2="http://schemas.microsoft.com/office/drawing/2015/06/chart">
            <c:ext xmlns:c16="http://schemas.microsoft.com/office/drawing/2014/chart" uri="{C3380CC4-5D6E-409C-BE32-E72D297353CC}">
              <c16:uniqueId val="{00000001-0A22-4C63-817A-D43295204506}"/>
            </c:ext>
          </c:extLst>
        </c:ser>
        <c:ser>
          <c:idx val="3"/>
          <c:order val="2"/>
          <c:tx>
            <c:strRef>
              <c:f>Sheet1!$A$4</c:f>
              <c:strCache>
                <c:ptCount val="1"/>
                <c:pt idx="0">
                  <c:v>PL</c:v>
                </c:pt>
              </c:strCache>
            </c:strRef>
          </c:tx>
          <c:spPr>
            <a:ln w="25399">
              <a:solidFill>
                <a:srgbClr val="FF6600"/>
              </a:solidFill>
              <a:prstDash val="solid"/>
            </a:ln>
          </c:spPr>
          <c:marker>
            <c:symbol val="square"/>
            <c:size val="4"/>
            <c:spPr>
              <a:solidFill>
                <a:srgbClr val="FF0000"/>
              </a:solidFill>
              <a:ln>
                <a:solidFill>
                  <a:srgbClr val="FF0000"/>
                </a:solidFill>
                <a:prstDash val="solid"/>
              </a:ln>
            </c:spPr>
          </c:marker>
          <c:cat>
            <c:numRef>
              <c:f>Sheet1!$B$1:$W$1</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Sheet1!$B$4:$W$4</c:f>
              <c:numCache>
                <c:formatCode>#,##0.00</c:formatCode>
                <c:ptCount val="22"/>
                <c:pt idx="0">
                  <c:v>0.62</c:v>
                </c:pt>
                <c:pt idx="1">
                  <c:v>0.64</c:v>
                </c:pt>
                <c:pt idx="2">
                  <c:v>0.64</c:v>
                </c:pt>
                <c:pt idx="3">
                  <c:v>0.66</c:v>
                </c:pt>
                <c:pt idx="4">
                  <c:v>0.68</c:v>
                </c:pt>
                <c:pt idx="5">
                  <c:v>0.64</c:v>
                </c:pt>
                <c:pt idx="6">
                  <c:v>0.62</c:v>
                </c:pt>
                <c:pt idx="7">
                  <c:v>0.56000000000000005</c:v>
                </c:pt>
                <c:pt idx="8">
                  <c:v>0.54</c:v>
                </c:pt>
                <c:pt idx="9">
                  <c:v>0.55000000000000004</c:v>
                </c:pt>
                <c:pt idx="10">
                  <c:v>0.56000000000000005</c:v>
                </c:pt>
                <c:pt idx="11">
                  <c:v>0.55000000000000004</c:v>
                </c:pt>
                <c:pt idx="12">
                  <c:v>0.56000000000000005</c:v>
                </c:pt>
                <c:pt idx="13" formatCode="#,##0.0">
                  <c:v>0.6</c:v>
                </c:pt>
                <c:pt idx="14">
                  <c:v>0.66</c:v>
                </c:pt>
                <c:pt idx="15">
                  <c:v>0.72</c:v>
                </c:pt>
                <c:pt idx="16">
                  <c:v>0.75</c:v>
                </c:pt>
                <c:pt idx="17">
                  <c:v>0.88</c:v>
                </c:pt>
                <c:pt idx="18">
                  <c:v>0.87</c:v>
                </c:pt>
                <c:pt idx="19">
                  <c:v>0.94</c:v>
                </c:pt>
                <c:pt idx="20" formatCode="#,##0">
                  <c:v>1</c:v>
                </c:pt>
              </c:numCache>
            </c:numRef>
          </c:val>
          <c:smooth val="1"/>
          <c:extLst xmlns:c16r2="http://schemas.microsoft.com/office/drawing/2015/06/chart">
            <c:ext xmlns:c16="http://schemas.microsoft.com/office/drawing/2014/chart" uri="{C3380CC4-5D6E-409C-BE32-E72D297353CC}">
              <c16:uniqueId val="{00000002-0A22-4C63-817A-D43295204506}"/>
            </c:ext>
          </c:extLst>
        </c:ser>
        <c:ser>
          <c:idx val="5"/>
          <c:order val="3"/>
          <c:tx>
            <c:strRef>
              <c:f>Sheet1!$A$5</c:f>
              <c:strCache>
                <c:ptCount val="1"/>
                <c:pt idx="0">
                  <c:v>SK</c:v>
                </c:pt>
              </c:strCache>
            </c:strRef>
          </c:tx>
          <c:spPr>
            <a:ln w="25399">
              <a:solidFill>
                <a:srgbClr val="000000"/>
              </a:solidFill>
              <a:prstDash val="solid"/>
            </a:ln>
          </c:spPr>
          <c:marker>
            <c:symbol val="circle"/>
            <c:size val="4"/>
            <c:spPr>
              <a:solidFill>
                <a:srgbClr val="000000"/>
              </a:solidFill>
              <a:ln>
                <a:solidFill>
                  <a:srgbClr val="000000"/>
                </a:solidFill>
                <a:prstDash val="solid"/>
              </a:ln>
            </c:spPr>
          </c:marker>
          <c:cat>
            <c:numRef>
              <c:f>Sheet1!$B$1:$W$1</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Sheet1!$B$5:$W$5</c:f>
              <c:numCache>
                <c:formatCode>#,##0.00</c:formatCode>
                <c:ptCount val="22"/>
                <c:pt idx="0">
                  <c:v>0.91</c:v>
                </c:pt>
                <c:pt idx="1">
                  <c:v>0.89</c:v>
                </c:pt>
                <c:pt idx="2">
                  <c:v>1.05</c:v>
                </c:pt>
                <c:pt idx="3">
                  <c:v>0.77</c:v>
                </c:pt>
                <c:pt idx="4">
                  <c:v>0.65</c:v>
                </c:pt>
                <c:pt idx="5">
                  <c:v>0.64</c:v>
                </c:pt>
                <c:pt idx="6">
                  <c:v>0.63</c:v>
                </c:pt>
                <c:pt idx="7">
                  <c:v>0.56000000000000005</c:v>
                </c:pt>
                <c:pt idx="8">
                  <c:v>0.56000000000000005</c:v>
                </c:pt>
                <c:pt idx="9" formatCode="#,##0.0">
                  <c:v>0.5</c:v>
                </c:pt>
                <c:pt idx="10">
                  <c:v>0.49</c:v>
                </c:pt>
                <c:pt idx="11">
                  <c:v>0.48</c:v>
                </c:pt>
                <c:pt idx="12">
                  <c:v>0.45</c:v>
                </c:pt>
                <c:pt idx="13">
                  <c:v>0.46</c:v>
                </c:pt>
                <c:pt idx="14">
                  <c:v>0.47</c:v>
                </c:pt>
                <c:pt idx="15">
                  <c:v>0.62</c:v>
                </c:pt>
                <c:pt idx="16">
                  <c:v>0.66</c:v>
                </c:pt>
                <c:pt idx="17" formatCode="#,##0.0">
                  <c:v>0.8</c:v>
                </c:pt>
                <c:pt idx="18">
                  <c:v>0.82</c:v>
                </c:pt>
                <c:pt idx="19">
                  <c:v>0.88</c:v>
                </c:pt>
                <c:pt idx="20">
                  <c:v>1.18</c:v>
                </c:pt>
                <c:pt idx="21">
                  <c:v>0.79</c:v>
                </c:pt>
              </c:numCache>
            </c:numRef>
          </c:val>
          <c:smooth val="1"/>
          <c:extLst xmlns:c16r2="http://schemas.microsoft.com/office/drawing/2015/06/chart">
            <c:ext xmlns:c16="http://schemas.microsoft.com/office/drawing/2014/chart" uri="{C3380CC4-5D6E-409C-BE32-E72D297353CC}">
              <c16:uniqueId val="{00000003-0A22-4C63-817A-D43295204506}"/>
            </c:ext>
          </c:extLst>
        </c:ser>
        <c:ser>
          <c:idx val="6"/>
          <c:order val="4"/>
          <c:tx>
            <c:strRef>
              <c:f>Sheet1!$A$6</c:f>
              <c:strCache>
                <c:ptCount val="1"/>
                <c:pt idx="0">
                  <c:v>EÚ</c:v>
                </c:pt>
              </c:strCache>
            </c:strRef>
          </c:tx>
          <c:spPr>
            <a:ln w="25399">
              <a:solidFill>
                <a:srgbClr val="0000FF"/>
              </a:solidFill>
              <a:prstDash val="solid"/>
            </a:ln>
          </c:spPr>
          <c:marker>
            <c:symbol val="circle"/>
            <c:size val="5"/>
            <c:spPr>
              <a:solidFill>
                <a:srgbClr val="0000FF"/>
              </a:solidFill>
              <a:ln>
                <a:solidFill>
                  <a:srgbClr val="0000FF"/>
                </a:solidFill>
                <a:prstDash val="solid"/>
              </a:ln>
            </c:spPr>
          </c:marker>
          <c:cat>
            <c:numRef>
              <c:f>Sheet1!$B$1:$W$1</c:f>
              <c:numCache>
                <c:formatCode>General</c:formatCode>
                <c:ptCount val="22"/>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numCache>
            </c:numRef>
          </c:cat>
          <c:val>
            <c:numRef>
              <c:f>Sheet1!$B$6:$W$6</c:f>
              <c:numCache>
                <c:formatCode>General</c:formatCode>
                <c:ptCount val="22"/>
                <c:pt idx="1">
                  <c:v>1.71</c:v>
                </c:pt>
                <c:pt idx="2">
                  <c:v>1.71</c:v>
                </c:pt>
                <c:pt idx="3">
                  <c:v>1.71</c:v>
                </c:pt>
                <c:pt idx="4">
                  <c:v>1.77</c:v>
                </c:pt>
                <c:pt idx="5" formatCode="#,##0.00">
                  <c:v>1.77</c:v>
                </c:pt>
                <c:pt idx="6" formatCode="#,##0.00">
                  <c:v>1.78</c:v>
                </c:pt>
                <c:pt idx="7" formatCode="#,##0.00">
                  <c:v>1.79</c:v>
                </c:pt>
                <c:pt idx="8" formatCode="#,##0.00">
                  <c:v>1.78</c:v>
                </c:pt>
                <c:pt idx="9" formatCode="#,##0.00">
                  <c:v>1.75</c:v>
                </c:pt>
                <c:pt idx="10" formatCode="#,##0.00">
                  <c:v>1.74</c:v>
                </c:pt>
                <c:pt idx="11" formatCode="#,##0.00">
                  <c:v>1.76</c:v>
                </c:pt>
                <c:pt idx="12" formatCode="#,##0.00">
                  <c:v>1.77</c:v>
                </c:pt>
                <c:pt idx="13" formatCode="#,##0.00">
                  <c:v>1.84</c:v>
                </c:pt>
                <c:pt idx="14" formatCode="#,##0.00">
                  <c:v>1.93</c:v>
                </c:pt>
                <c:pt idx="15" formatCode="#,##0.00">
                  <c:v>1.93</c:v>
                </c:pt>
                <c:pt idx="16" formatCode="#,##0.00">
                  <c:v>1.97</c:v>
                </c:pt>
                <c:pt idx="17" formatCode="#,##0.00">
                  <c:v>2.0099999999999998</c:v>
                </c:pt>
                <c:pt idx="18" formatCode="#,##0.00">
                  <c:v>2.02</c:v>
                </c:pt>
                <c:pt idx="19" formatCode="#,##0.00">
                  <c:v>2.0299999999999998</c:v>
                </c:pt>
                <c:pt idx="20" formatCode="#,##0.00">
                  <c:v>2.0299999999999998</c:v>
                </c:pt>
                <c:pt idx="21" formatCode="#,##0.00">
                  <c:v>2.0299999999999998</c:v>
                </c:pt>
              </c:numCache>
            </c:numRef>
          </c:val>
          <c:smooth val="1"/>
          <c:extLst xmlns:c16r2="http://schemas.microsoft.com/office/drawing/2015/06/chart">
            <c:ext xmlns:c16="http://schemas.microsoft.com/office/drawing/2014/chart" uri="{C3380CC4-5D6E-409C-BE32-E72D297353CC}">
              <c16:uniqueId val="{00000004-0A22-4C63-817A-D43295204506}"/>
            </c:ext>
          </c:extLst>
        </c:ser>
        <c:dLbls>
          <c:showLegendKey val="0"/>
          <c:showVal val="0"/>
          <c:showCatName val="0"/>
          <c:showSerName val="0"/>
          <c:showPercent val="0"/>
          <c:showBubbleSize val="0"/>
        </c:dLbls>
        <c:marker val="1"/>
        <c:smooth val="0"/>
        <c:axId val="493404240"/>
        <c:axId val="493406592"/>
      </c:lineChart>
      <c:catAx>
        <c:axId val="493404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5400000" vert="horz"/>
          <a:lstStyle/>
          <a:p>
            <a:pPr>
              <a:defRPr/>
            </a:pPr>
            <a:endParaRPr lang="cs-CZ"/>
          </a:p>
        </c:txPr>
        <c:crossAx val="493406592"/>
        <c:crosses val="autoZero"/>
        <c:auto val="1"/>
        <c:lblAlgn val="ctr"/>
        <c:lblOffset val="100"/>
        <c:noMultiLvlLbl val="0"/>
      </c:catAx>
      <c:valAx>
        <c:axId val="493406592"/>
        <c:scaling>
          <c:orientation val="minMax"/>
          <c:max val="2.2000000000000002"/>
          <c:min val="0.4"/>
        </c:scaling>
        <c:delete val="0"/>
        <c:axPos val="l"/>
        <c:majorGridlines>
          <c:spPr>
            <a:ln w="3175">
              <a:solidFill>
                <a:srgbClr val="000000"/>
              </a:solidFill>
              <a:prstDash val="dash"/>
            </a:ln>
          </c:spPr>
        </c:majorGridlines>
        <c:numFmt formatCode="0.0" sourceLinked="0"/>
        <c:majorTickMark val="out"/>
        <c:minorTickMark val="none"/>
        <c:tickLblPos val="nextTo"/>
        <c:spPr>
          <a:ln w="3175">
            <a:solidFill>
              <a:srgbClr val="000000"/>
            </a:solidFill>
            <a:prstDash val="solid"/>
          </a:ln>
        </c:spPr>
        <c:txPr>
          <a:bodyPr rot="0" vert="horz"/>
          <a:lstStyle/>
          <a:p>
            <a:pPr>
              <a:defRPr/>
            </a:pPr>
            <a:endParaRPr lang="cs-CZ"/>
          </a:p>
        </c:txPr>
        <c:crossAx val="493404240"/>
        <c:crosses val="autoZero"/>
        <c:crossBetween val="between"/>
        <c:majorUnit val="0.2"/>
        <c:minorUnit val="0.1"/>
      </c:valAx>
      <c:spPr>
        <a:solidFill>
          <a:srgbClr val="FFFFFF"/>
        </a:solidFill>
        <a:ln w="12699">
          <a:solidFill>
            <a:srgbClr val="808080"/>
          </a:solidFill>
          <a:prstDash val="solid"/>
        </a:ln>
      </c:spPr>
    </c:plotArea>
    <c:legend>
      <c:legendPos val="r"/>
      <c:layout>
        <c:manualLayout>
          <c:xMode val="edge"/>
          <c:yMode val="edge"/>
          <c:x val="0.13919978646737"/>
          <c:y val="0.40480351720740798"/>
          <c:w val="0.48285671070777197"/>
          <c:h val="0.141548236348505"/>
        </c:manualLayout>
      </c:layout>
      <c:overlay val="0"/>
      <c:spPr>
        <a:noFill/>
        <a:ln w="25399">
          <a:noFill/>
        </a:ln>
      </c:spPr>
    </c:legend>
    <c:plotVisOnly val="1"/>
    <c:dispBlanksAs val="gap"/>
    <c:showDLblsOverMax val="0"/>
  </c:chart>
  <c:spPr>
    <a:solidFill>
      <a:srgbClr val="FFFFFF"/>
    </a:solidFill>
    <a:ln w="6350" cap="flat" cmpd="sng" algn="ctr">
      <a:solidFill>
        <a:schemeClr val="tx1"/>
      </a:solidFill>
      <a:prstDash val="solid"/>
      <a:miter lim="800000"/>
      <a:headEnd type="none" w="med" len="med"/>
      <a:tailEnd type="none" w="med" len="med"/>
    </a:ln>
  </c:spPr>
  <c:txPr>
    <a:bodyPr/>
    <a:lstStyle/>
    <a:p>
      <a:pPr>
        <a:defRPr sz="1000" b="0" i="0" u="none" strike="noStrike" baseline="0">
          <a:solidFill>
            <a:srgbClr val="000000"/>
          </a:solidFill>
          <a:latin typeface="Times New Roman" panose="02020603050405020304" pitchFamily="18" charset="0"/>
          <a:ea typeface="Arial CE"/>
          <a:cs typeface="Times New Roman" panose="02020603050405020304" pitchFamily="18"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0"/>
            </a:pPr>
            <a:r>
              <a:rPr lang="sk-SK" sz="1200" b="0"/>
              <a:t>Hodnota </a:t>
            </a:r>
            <a:r>
              <a:rPr lang="sk-SK" sz="1200" b="0" baseline="0"/>
              <a:t>Sumárneho inovačného indexu</a:t>
            </a:r>
            <a:endParaRPr lang="sk-SK" sz="1200" b="0"/>
          </a:p>
        </c:rich>
      </c:tx>
      <c:layout>
        <c:manualLayout>
          <c:xMode val="edge"/>
          <c:yMode val="edge"/>
          <c:x val="0.140022598870056"/>
          <c:y val="0"/>
        </c:manualLayout>
      </c:layout>
      <c:overlay val="1"/>
    </c:title>
    <c:autoTitleDeleted val="0"/>
    <c:plotArea>
      <c:layout>
        <c:manualLayout>
          <c:layoutTarget val="inner"/>
          <c:xMode val="edge"/>
          <c:yMode val="edge"/>
          <c:x val="0.13552916054984601"/>
          <c:y val="0.13532745906761701"/>
          <c:w val="0.81728404288446999"/>
          <c:h val="0.74909073865766795"/>
        </c:manualLayout>
      </c:layout>
      <c:lineChart>
        <c:grouping val="standard"/>
        <c:varyColors val="0"/>
        <c:ser>
          <c:idx val="0"/>
          <c:order val="0"/>
          <c:tx>
            <c:strRef>
              <c:f>Hárok1!$A$2</c:f>
              <c:strCache>
                <c:ptCount val="1"/>
                <c:pt idx="0">
                  <c:v>EÚ28</c:v>
                </c:pt>
              </c:strCache>
            </c:strRef>
          </c:tx>
          <c:spPr>
            <a:ln>
              <a:solidFill>
                <a:srgbClr val="0033CC"/>
              </a:solidFill>
            </a:ln>
          </c:spPr>
          <c:marker>
            <c:symbol val="circle"/>
            <c:size val="5"/>
            <c:spPr>
              <a:solidFill>
                <a:srgbClr val="0033CC"/>
              </a:solidFill>
              <a:ln>
                <a:solidFill>
                  <a:srgbClr val="0033CC"/>
                </a:solidFill>
              </a:ln>
            </c:spPr>
          </c:marker>
          <c:cat>
            <c:strRef>
              <c:f>Hárok1!$B$1:$I$1</c:f>
              <c:strCache>
                <c:ptCount val="8"/>
                <c:pt idx="0">
                  <c:v>2009</c:v>
                </c:pt>
                <c:pt idx="1">
                  <c:v>2010</c:v>
                </c:pt>
                <c:pt idx="2">
                  <c:v>2011</c:v>
                </c:pt>
                <c:pt idx="3">
                  <c:v>2012</c:v>
                </c:pt>
                <c:pt idx="4">
                  <c:v>2013</c:v>
                </c:pt>
                <c:pt idx="5">
                  <c:v>2014</c:v>
                </c:pt>
                <c:pt idx="6">
                  <c:v>2015</c:v>
                </c:pt>
                <c:pt idx="7">
                  <c:v>2016</c:v>
                </c:pt>
              </c:strCache>
            </c:strRef>
          </c:cat>
          <c:val>
            <c:numRef>
              <c:f>Hárok1!$B$2:$I$2</c:f>
              <c:numCache>
                <c:formatCode>0.0</c:formatCode>
                <c:ptCount val="8"/>
                <c:pt idx="0">
                  <c:v>98.758926711857839</c:v>
                </c:pt>
                <c:pt idx="1">
                  <c:v>100</c:v>
                </c:pt>
                <c:pt idx="2">
                  <c:v>100.4483539131147</c:v>
                </c:pt>
                <c:pt idx="3">
                  <c:v>99.200405338712116</c:v>
                </c:pt>
                <c:pt idx="4">
                  <c:v>100.26024997817881</c:v>
                </c:pt>
                <c:pt idx="5">
                  <c:v>99.217404117608709</c:v>
                </c:pt>
                <c:pt idx="6">
                  <c:v>100.7460494830286</c:v>
                </c:pt>
                <c:pt idx="7">
                  <c:v>101.95259779540309</c:v>
                </c:pt>
              </c:numCache>
            </c:numRef>
          </c:val>
          <c:smooth val="1"/>
          <c:extLst xmlns:c16r2="http://schemas.microsoft.com/office/drawing/2015/06/chart">
            <c:ext xmlns:c16="http://schemas.microsoft.com/office/drawing/2014/chart" uri="{C3380CC4-5D6E-409C-BE32-E72D297353CC}">
              <c16:uniqueId val="{00000000-06AE-484C-BF13-B222634F948D}"/>
            </c:ext>
          </c:extLst>
        </c:ser>
        <c:ser>
          <c:idx val="1"/>
          <c:order val="1"/>
          <c:tx>
            <c:strRef>
              <c:f>Hárok1!$A$3</c:f>
              <c:strCache>
                <c:ptCount val="1"/>
                <c:pt idx="0">
                  <c:v>CZ</c:v>
                </c:pt>
              </c:strCache>
            </c:strRef>
          </c:tx>
          <c:spPr>
            <a:ln>
              <a:solidFill>
                <a:srgbClr val="C00000"/>
              </a:solidFill>
            </a:ln>
          </c:spPr>
          <c:marker>
            <c:symbol val="circle"/>
            <c:size val="5"/>
            <c:spPr>
              <a:solidFill>
                <a:schemeClr val="bg1"/>
              </a:solidFill>
            </c:spPr>
          </c:marker>
          <c:cat>
            <c:strRef>
              <c:f>Hárok1!$B$1:$I$1</c:f>
              <c:strCache>
                <c:ptCount val="8"/>
                <c:pt idx="0">
                  <c:v>2009</c:v>
                </c:pt>
                <c:pt idx="1">
                  <c:v>2010</c:v>
                </c:pt>
                <c:pt idx="2">
                  <c:v>2011</c:v>
                </c:pt>
                <c:pt idx="3">
                  <c:v>2012</c:v>
                </c:pt>
                <c:pt idx="4">
                  <c:v>2013</c:v>
                </c:pt>
                <c:pt idx="5">
                  <c:v>2014</c:v>
                </c:pt>
                <c:pt idx="6">
                  <c:v>2015</c:v>
                </c:pt>
                <c:pt idx="7">
                  <c:v>2016</c:v>
                </c:pt>
              </c:strCache>
            </c:strRef>
          </c:cat>
          <c:val>
            <c:numRef>
              <c:f>Hárok1!$B$3:$I$3</c:f>
              <c:numCache>
                <c:formatCode>0.0</c:formatCode>
                <c:ptCount val="8"/>
                <c:pt idx="0">
                  <c:v>82.937936214341306</c:v>
                </c:pt>
                <c:pt idx="1">
                  <c:v>87.890996158554785</c:v>
                </c:pt>
                <c:pt idx="2">
                  <c:v>89.073183351457857</c:v>
                </c:pt>
                <c:pt idx="3">
                  <c:v>85.828718800910181</c:v>
                </c:pt>
                <c:pt idx="4">
                  <c:v>85.292198583381378</c:v>
                </c:pt>
                <c:pt idx="5">
                  <c:v>83.415274160229004</c:v>
                </c:pt>
                <c:pt idx="6">
                  <c:v>85.257972170832545</c:v>
                </c:pt>
                <c:pt idx="7">
                  <c:v>84.356360451546479</c:v>
                </c:pt>
              </c:numCache>
            </c:numRef>
          </c:val>
          <c:smooth val="1"/>
          <c:extLst xmlns:c16r2="http://schemas.microsoft.com/office/drawing/2015/06/chart">
            <c:ext xmlns:c16="http://schemas.microsoft.com/office/drawing/2014/chart" uri="{C3380CC4-5D6E-409C-BE32-E72D297353CC}">
              <c16:uniqueId val="{00000001-06AE-484C-BF13-B222634F948D}"/>
            </c:ext>
          </c:extLst>
        </c:ser>
        <c:ser>
          <c:idx val="2"/>
          <c:order val="2"/>
          <c:tx>
            <c:strRef>
              <c:f>Hárok1!$A$4</c:f>
              <c:strCache>
                <c:ptCount val="1"/>
                <c:pt idx="0">
                  <c:v>HU</c:v>
                </c:pt>
              </c:strCache>
            </c:strRef>
          </c:tx>
          <c:spPr>
            <a:ln>
              <a:solidFill>
                <a:srgbClr val="009900"/>
              </a:solidFill>
            </a:ln>
          </c:spPr>
          <c:marker>
            <c:symbol val="square"/>
            <c:size val="4"/>
            <c:spPr>
              <a:solidFill>
                <a:schemeClr val="bg1"/>
              </a:solidFill>
              <a:ln>
                <a:solidFill>
                  <a:srgbClr val="009900"/>
                </a:solidFill>
              </a:ln>
            </c:spPr>
          </c:marker>
          <c:cat>
            <c:strRef>
              <c:f>Hárok1!$B$1:$I$1</c:f>
              <c:strCache>
                <c:ptCount val="8"/>
                <c:pt idx="0">
                  <c:v>2009</c:v>
                </c:pt>
                <c:pt idx="1">
                  <c:v>2010</c:v>
                </c:pt>
                <c:pt idx="2">
                  <c:v>2011</c:v>
                </c:pt>
                <c:pt idx="3">
                  <c:v>2012</c:v>
                </c:pt>
                <c:pt idx="4">
                  <c:v>2013</c:v>
                </c:pt>
                <c:pt idx="5">
                  <c:v>2014</c:v>
                </c:pt>
                <c:pt idx="6">
                  <c:v>2015</c:v>
                </c:pt>
                <c:pt idx="7">
                  <c:v>2016</c:v>
                </c:pt>
              </c:strCache>
            </c:strRef>
          </c:cat>
          <c:val>
            <c:numRef>
              <c:f>Hárok1!$B$4:$I$4</c:f>
              <c:numCache>
                <c:formatCode>0.0</c:formatCode>
                <c:ptCount val="8"/>
                <c:pt idx="0">
                  <c:v>68.189693715330776</c:v>
                </c:pt>
                <c:pt idx="1">
                  <c:v>70.890859147246175</c:v>
                </c:pt>
                <c:pt idx="2">
                  <c:v>70.723399306826892</c:v>
                </c:pt>
                <c:pt idx="3">
                  <c:v>65.932839207668849</c:v>
                </c:pt>
                <c:pt idx="4">
                  <c:v>66.022972882830459</c:v>
                </c:pt>
                <c:pt idx="5">
                  <c:v>66.616903246553278</c:v>
                </c:pt>
                <c:pt idx="6">
                  <c:v>67.201736602119055</c:v>
                </c:pt>
                <c:pt idx="7">
                  <c:v>67.368458030438973</c:v>
                </c:pt>
              </c:numCache>
            </c:numRef>
          </c:val>
          <c:smooth val="1"/>
          <c:extLst xmlns:c16r2="http://schemas.microsoft.com/office/drawing/2015/06/chart">
            <c:ext xmlns:c16="http://schemas.microsoft.com/office/drawing/2014/chart" uri="{C3380CC4-5D6E-409C-BE32-E72D297353CC}">
              <c16:uniqueId val="{00000002-06AE-484C-BF13-B222634F948D}"/>
            </c:ext>
          </c:extLst>
        </c:ser>
        <c:ser>
          <c:idx val="3"/>
          <c:order val="3"/>
          <c:tx>
            <c:strRef>
              <c:f>Hárok1!$A$5</c:f>
              <c:strCache>
                <c:ptCount val="1"/>
                <c:pt idx="0">
                  <c:v>PL</c:v>
                </c:pt>
              </c:strCache>
            </c:strRef>
          </c:tx>
          <c:spPr>
            <a:ln>
              <a:solidFill>
                <a:srgbClr val="FF0000"/>
              </a:solidFill>
            </a:ln>
          </c:spPr>
          <c:marker>
            <c:symbol val="x"/>
            <c:size val="4"/>
            <c:spPr>
              <a:solidFill>
                <a:srgbClr val="FF0000"/>
              </a:solidFill>
              <a:ln>
                <a:solidFill>
                  <a:srgbClr val="FF0000"/>
                </a:solidFill>
              </a:ln>
            </c:spPr>
          </c:marker>
          <c:cat>
            <c:strRef>
              <c:f>Hárok1!$B$1:$I$1</c:f>
              <c:strCache>
                <c:ptCount val="8"/>
                <c:pt idx="0">
                  <c:v>2009</c:v>
                </c:pt>
                <c:pt idx="1">
                  <c:v>2010</c:v>
                </c:pt>
                <c:pt idx="2">
                  <c:v>2011</c:v>
                </c:pt>
                <c:pt idx="3">
                  <c:v>2012</c:v>
                </c:pt>
                <c:pt idx="4">
                  <c:v>2013</c:v>
                </c:pt>
                <c:pt idx="5">
                  <c:v>2014</c:v>
                </c:pt>
                <c:pt idx="6">
                  <c:v>2015</c:v>
                </c:pt>
                <c:pt idx="7">
                  <c:v>2016</c:v>
                </c:pt>
              </c:strCache>
            </c:strRef>
          </c:cat>
          <c:val>
            <c:numRef>
              <c:f>Hárok1!$B$5:$I$5</c:f>
              <c:numCache>
                <c:formatCode>0.0</c:formatCode>
                <c:ptCount val="8"/>
                <c:pt idx="0">
                  <c:v>54.802116750183103</c:v>
                </c:pt>
                <c:pt idx="1">
                  <c:v>52.827531733849838</c:v>
                </c:pt>
                <c:pt idx="2">
                  <c:v>53.41215364548475</c:v>
                </c:pt>
                <c:pt idx="3">
                  <c:v>50.888143682182999</c:v>
                </c:pt>
                <c:pt idx="4">
                  <c:v>51.420588875523137</c:v>
                </c:pt>
                <c:pt idx="5">
                  <c:v>50.912972817456357</c:v>
                </c:pt>
                <c:pt idx="6">
                  <c:v>52.165144150771553</c:v>
                </c:pt>
                <c:pt idx="7">
                  <c:v>54.786320366129978</c:v>
                </c:pt>
              </c:numCache>
            </c:numRef>
          </c:val>
          <c:smooth val="1"/>
          <c:extLst xmlns:c16r2="http://schemas.microsoft.com/office/drawing/2015/06/chart">
            <c:ext xmlns:c16="http://schemas.microsoft.com/office/drawing/2014/chart" uri="{C3380CC4-5D6E-409C-BE32-E72D297353CC}">
              <c16:uniqueId val="{00000003-06AE-484C-BF13-B222634F948D}"/>
            </c:ext>
          </c:extLst>
        </c:ser>
        <c:ser>
          <c:idx val="4"/>
          <c:order val="4"/>
          <c:tx>
            <c:strRef>
              <c:f>Hárok1!$A$6</c:f>
              <c:strCache>
                <c:ptCount val="1"/>
                <c:pt idx="0">
                  <c:v>SK</c:v>
                </c:pt>
              </c:strCache>
            </c:strRef>
          </c:tx>
          <c:spPr>
            <a:ln>
              <a:solidFill>
                <a:schemeClr val="tx1"/>
              </a:solidFill>
            </a:ln>
          </c:spPr>
          <c:marker>
            <c:symbol val="circle"/>
            <c:size val="4"/>
            <c:spPr>
              <a:solidFill>
                <a:schemeClr val="tx1"/>
              </a:solidFill>
              <a:ln>
                <a:solidFill>
                  <a:schemeClr val="tx1"/>
                </a:solidFill>
              </a:ln>
            </c:spPr>
          </c:marker>
          <c:cat>
            <c:strRef>
              <c:f>Hárok1!$B$1:$I$1</c:f>
              <c:strCache>
                <c:ptCount val="8"/>
                <c:pt idx="0">
                  <c:v>2009</c:v>
                </c:pt>
                <c:pt idx="1">
                  <c:v>2010</c:v>
                </c:pt>
                <c:pt idx="2">
                  <c:v>2011</c:v>
                </c:pt>
                <c:pt idx="3">
                  <c:v>2012</c:v>
                </c:pt>
                <c:pt idx="4">
                  <c:v>2013</c:v>
                </c:pt>
                <c:pt idx="5">
                  <c:v>2014</c:v>
                </c:pt>
                <c:pt idx="6">
                  <c:v>2015</c:v>
                </c:pt>
                <c:pt idx="7">
                  <c:v>2016</c:v>
                </c:pt>
              </c:strCache>
            </c:strRef>
          </c:cat>
          <c:val>
            <c:numRef>
              <c:f>Hárok1!$B$6:$I$6</c:f>
              <c:numCache>
                <c:formatCode>0.0</c:formatCode>
                <c:ptCount val="8"/>
                <c:pt idx="0">
                  <c:v>65.478453263660001</c:v>
                </c:pt>
                <c:pt idx="1">
                  <c:v>61.968260257127831</c:v>
                </c:pt>
                <c:pt idx="2">
                  <c:v>66.697250773958729</c:v>
                </c:pt>
                <c:pt idx="3">
                  <c:v>68.853190824178654</c:v>
                </c:pt>
                <c:pt idx="4">
                  <c:v>72.356376096941659</c:v>
                </c:pt>
                <c:pt idx="5">
                  <c:v>66.413602001698621</c:v>
                </c:pt>
                <c:pt idx="6">
                  <c:v>70.598903226553148</c:v>
                </c:pt>
                <c:pt idx="7">
                  <c:v>69.974708882532966</c:v>
                </c:pt>
              </c:numCache>
            </c:numRef>
          </c:val>
          <c:smooth val="1"/>
          <c:extLst xmlns:c16r2="http://schemas.microsoft.com/office/drawing/2015/06/chart">
            <c:ext xmlns:c16="http://schemas.microsoft.com/office/drawing/2014/chart" uri="{C3380CC4-5D6E-409C-BE32-E72D297353CC}">
              <c16:uniqueId val="{00000004-06AE-484C-BF13-B222634F948D}"/>
            </c:ext>
          </c:extLst>
        </c:ser>
        <c:dLbls>
          <c:showLegendKey val="0"/>
          <c:showVal val="0"/>
          <c:showCatName val="0"/>
          <c:showSerName val="0"/>
          <c:showPercent val="0"/>
          <c:showBubbleSize val="0"/>
        </c:dLbls>
        <c:marker val="1"/>
        <c:smooth val="0"/>
        <c:axId val="493406984"/>
        <c:axId val="493404632"/>
      </c:lineChart>
      <c:catAx>
        <c:axId val="493406984"/>
        <c:scaling>
          <c:orientation val="minMax"/>
        </c:scaling>
        <c:delete val="0"/>
        <c:axPos val="b"/>
        <c:numFmt formatCode="General" sourceLinked="0"/>
        <c:majorTickMark val="out"/>
        <c:minorTickMark val="none"/>
        <c:tickLblPos val="nextTo"/>
        <c:txPr>
          <a:bodyPr rot="-5400000" vert="horz"/>
          <a:lstStyle/>
          <a:p>
            <a:pPr>
              <a:defRPr/>
            </a:pPr>
            <a:endParaRPr lang="cs-CZ"/>
          </a:p>
        </c:txPr>
        <c:crossAx val="493404632"/>
        <c:crosses val="autoZero"/>
        <c:auto val="1"/>
        <c:lblAlgn val="ctr"/>
        <c:lblOffset val="100"/>
        <c:noMultiLvlLbl val="0"/>
      </c:catAx>
      <c:valAx>
        <c:axId val="493404632"/>
        <c:scaling>
          <c:orientation val="minMax"/>
          <c:min val="50"/>
        </c:scaling>
        <c:delete val="0"/>
        <c:axPos val="l"/>
        <c:majorGridlines>
          <c:spPr>
            <a:ln>
              <a:solidFill>
                <a:schemeClr val="tx1"/>
              </a:solidFill>
              <a:prstDash val="dash"/>
            </a:ln>
          </c:spPr>
        </c:majorGridlines>
        <c:numFmt formatCode="0" sourceLinked="0"/>
        <c:majorTickMark val="out"/>
        <c:minorTickMark val="none"/>
        <c:tickLblPos val="nextTo"/>
        <c:txPr>
          <a:bodyPr/>
          <a:lstStyle/>
          <a:p>
            <a:pPr>
              <a:defRPr b="0"/>
            </a:pPr>
            <a:endParaRPr lang="cs-CZ"/>
          </a:p>
        </c:txPr>
        <c:crossAx val="493406984"/>
        <c:crosses val="autoZero"/>
        <c:crossBetween val="between"/>
      </c:valAx>
      <c:spPr>
        <a:ln>
          <a:solidFill>
            <a:srgbClr val="000000"/>
          </a:solidFill>
        </a:ln>
      </c:spPr>
    </c:plotArea>
    <c:legend>
      <c:legendPos val="r"/>
      <c:layout>
        <c:manualLayout>
          <c:xMode val="edge"/>
          <c:yMode val="edge"/>
          <c:x val="0.22110734463276799"/>
          <c:y val="0.27218066491688497"/>
          <c:w val="0.69301694915254197"/>
          <c:h val="0.1183367704037"/>
        </c:manualLayout>
      </c:layout>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Hárok1!$A$2</c:f>
              <c:strCache>
                <c:ptCount val="1"/>
                <c:pt idx="0">
                  <c:v>Podiel žiakov s predčasne ukončenou školskou dochádzkou (%)</c:v>
                </c:pt>
              </c:strCache>
            </c:strRef>
          </c:tx>
          <c:spPr>
            <a:ln w="38100" cap="rnd">
              <a:solidFill>
                <a:schemeClr val="accent1"/>
              </a:solidFill>
              <a:round/>
            </a:ln>
            <a:effectLst/>
          </c:spPr>
          <c:marker>
            <c:symbol val="none"/>
          </c:marker>
          <c:cat>
            <c:strRef>
              <c:f>Hárok1!$B$1:$P$1</c:f>
              <c:strCache>
                <c:ptCount val="15"/>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pt idx="14">
                  <c:v>2016</c:v>
                </c:pt>
              </c:strCache>
            </c:strRef>
          </c:cat>
          <c:val>
            <c:numRef>
              <c:f>Hárok1!$B$2:$P$2</c:f>
              <c:numCache>
                <c:formatCode>General</c:formatCode>
                <c:ptCount val="15"/>
                <c:pt idx="0">
                  <c:v>6.7</c:v>
                </c:pt>
                <c:pt idx="1">
                  <c:v>5.3</c:v>
                </c:pt>
                <c:pt idx="2">
                  <c:v>6.8</c:v>
                </c:pt>
                <c:pt idx="3">
                  <c:v>6.3</c:v>
                </c:pt>
                <c:pt idx="4">
                  <c:v>6.6</c:v>
                </c:pt>
                <c:pt idx="5">
                  <c:v>6.5</c:v>
                </c:pt>
                <c:pt idx="6">
                  <c:v>6</c:v>
                </c:pt>
                <c:pt idx="7">
                  <c:v>4.9000000000000004</c:v>
                </c:pt>
                <c:pt idx="8">
                  <c:v>4.7</c:v>
                </c:pt>
                <c:pt idx="9">
                  <c:v>5.0999999999999996</c:v>
                </c:pt>
                <c:pt idx="10">
                  <c:v>5.3</c:v>
                </c:pt>
                <c:pt idx="11">
                  <c:v>6.4</c:v>
                </c:pt>
                <c:pt idx="12">
                  <c:v>6.7</c:v>
                </c:pt>
                <c:pt idx="13">
                  <c:v>6.9</c:v>
                </c:pt>
                <c:pt idx="14">
                  <c:v>7.4</c:v>
                </c:pt>
              </c:numCache>
            </c:numRef>
          </c:val>
          <c:smooth val="1"/>
          <c:extLst xmlns:c16r2="http://schemas.microsoft.com/office/drawing/2015/06/chart">
            <c:ext xmlns:c16="http://schemas.microsoft.com/office/drawing/2014/chart" uri="{C3380CC4-5D6E-409C-BE32-E72D297353CC}">
              <c16:uniqueId val="{00000000-CC1A-4DCF-AF40-B0CF1E6E42A2}"/>
            </c:ext>
          </c:extLst>
        </c:ser>
        <c:dLbls>
          <c:showLegendKey val="0"/>
          <c:showVal val="0"/>
          <c:showCatName val="0"/>
          <c:showSerName val="0"/>
          <c:showPercent val="0"/>
          <c:showBubbleSize val="0"/>
        </c:dLbls>
        <c:smooth val="0"/>
        <c:axId val="415992008"/>
        <c:axId val="375131136"/>
      </c:lineChart>
      <c:catAx>
        <c:axId val="415992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375131136"/>
        <c:crosses val="autoZero"/>
        <c:auto val="1"/>
        <c:lblAlgn val="ctr"/>
        <c:lblOffset val="100"/>
        <c:noMultiLvlLbl val="0"/>
      </c:catAx>
      <c:valAx>
        <c:axId val="375131136"/>
        <c:scaling>
          <c:orientation val="minMax"/>
          <c:min val="4"/>
        </c:scaling>
        <c:delete val="0"/>
        <c:axPos val="l"/>
        <c:majorGridlines>
          <c:spPr>
            <a:ln w="9525" cap="flat" cmpd="sng" algn="ctr">
              <a:solidFill>
                <a:schemeClr val="tx1"/>
              </a:solidFill>
              <a:prstDash val="dash"/>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15992008"/>
        <c:crosses val="autoZero"/>
        <c:crossBetween val="between"/>
      </c:valAx>
      <c:spPr>
        <a:noFill/>
        <a:ln>
          <a:solidFill>
            <a:schemeClr val="tx1"/>
          </a:solidFill>
        </a:ln>
        <a:effectLst/>
      </c:spPr>
    </c:plotArea>
    <c:plotVisOnly val="1"/>
    <c:dispBlanksAs val="zero"/>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Hárok1!$A$2</c:f>
              <c:strCache>
                <c:ptCount val="1"/>
                <c:pt idx="0">
                  <c:v> podiel obyvateľov vo  veku 30– 34 rokov s ukončeným vysokoškolským vzdelaním (%)</c:v>
                </c:pt>
              </c:strCache>
            </c:strRef>
          </c:tx>
          <c:spPr>
            <a:ln w="38100" cap="rnd">
              <a:solidFill>
                <a:srgbClr val="FF0000"/>
              </a:solidFill>
              <a:round/>
            </a:ln>
            <a:effectLst/>
          </c:spPr>
          <c:marker>
            <c:symbol val="none"/>
          </c:marker>
          <c:cat>
            <c:strRef>
              <c:f>Hárok1!$B$1:$T$1</c:f>
              <c:strCach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strCache>
            </c:strRef>
          </c:cat>
          <c:val>
            <c:numRef>
              <c:f>Hárok1!$B$2:$T$2</c:f>
              <c:numCache>
                <c:formatCode>General</c:formatCode>
                <c:ptCount val="19"/>
                <c:pt idx="0">
                  <c:v>10.6</c:v>
                </c:pt>
                <c:pt idx="1">
                  <c:v>11.1</c:v>
                </c:pt>
                <c:pt idx="2">
                  <c:v>10.6</c:v>
                </c:pt>
                <c:pt idx="3">
                  <c:v>10.7</c:v>
                </c:pt>
                <c:pt idx="4">
                  <c:v>10.5</c:v>
                </c:pt>
                <c:pt idx="5">
                  <c:v>11.5</c:v>
                </c:pt>
                <c:pt idx="6">
                  <c:v>12.9</c:v>
                </c:pt>
                <c:pt idx="7">
                  <c:v>14.3</c:v>
                </c:pt>
                <c:pt idx="8">
                  <c:v>14.4</c:v>
                </c:pt>
                <c:pt idx="9">
                  <c:v>14.8</c:v>
                </c:pt>
                <c:pt idx="10">
                  <c:v>15.8</c:v>
                </c:pt>
                <c:pt idx="11">
                  <c:v>17.600000000000001</c:v>
                </c:pt>
                <c:pt idx="12">
                  <c:v>22.1</c:v>
                </c:pt>
                <c:pt idx="13">
                  <c:v>23.2</c:v>
                </c:pt>
                <c:pt idx="14">
                  <c:v>23.7</c:v>
                </c:pt>
                <c:pt idx="15">
                  <c:v>26.9</c:v>
                </c:pt>
                <c:pt idx="16">
                  <c:v>26.9</c:v>
                </c:pt>
                <c:pt idx="17">
                  <c:v>28.4</c:v>
                </c:pt>
                <c:pt idx="18">
                  <c:v>31.5</c:v>
                </c:pt>
              </c:numCache>
            </c:numRef>
          </c:val>
          <c:smooth val="1"/>
          <c:extLst xmlns:c16r2="http://schemas.microsoft.com/office/drawing/2015/06/chart">
            <c:ext xmlns:c16="http://schemas.microsoft.com/office/drawing/2014/chart" uri="{C3380CC4-5D6E-409C-BE32-E72D297353CC}">
              <c16:uniqueId val="{00000000-B43F-4F6B-81C7-55CE7023A977}"/>
            </c:ext>
          </c:extLst>
        </c:ser>
        <c:dLbls>
          <c:showLegendKey val="0"/>
          <c:showVal val="0"/>
          <c:showCatName val="0"/>
          <c:showSerName val="0"/>
          <c:showPercent val="0"/>
          <c:showBubbleSize val="0"/>
        </c:dLbls>
        <c:smooth val="0"/>
        <c:axId val="429638576"/>
        <c:axId val="429640928"/>
      </c:lineChart>
      <c:catAx>
        <c:axId val="42963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29640928"/>
        <c:crosses val="autoZero"/>
        <c:auto val="1"/>
        <c:lblAlgn val="ctr"/>
        <c:lblOffset val="100"/>
        <c:noMultiLvlLbl val="0"/>
      </c:catAx>
      <c:valAx>
        <c:axId val="429640928"/>
        <c:scaling>
          <c:orientation val="minMax"/>
          <c:min val="10"/>
        </c:scaling>
        <c:delete val="0"/>
        <c:axPos val="l"/>
        <c:majorGridlines>
          <c:spPr>
            <a:ln w="9525" cap="flat" cmpd="sng" algn="ctr">
              <a:solidFill>
                <a:schemeClr val="tx1"/>
              </a:solidFill>
              <a:prstDash val="dash"/>
              <a:round/>
            </a:ln>
            <a:effectLst/>
          </c:spPr>
        </c:majorGridlines>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cs-CZ"/>
          </a:p>
        </c:txPr>
        <c:crossAx val="429638576"/>
        <c:crosses val="autoZero"/>
        <c:crossBetween val="between"/>
      </c:valAx>
      <c:spPr>
        <a:noFill/>
        <a:ln>
          <a:solidFill>
            <a:schemeClr val="tx1"/>
          </a:solidFill>
        </a:ln>
        <a:effectLst/>
      </c:spPr>
    </c:plotArea>
    <c:plotVisOnly val="1"/>
    <c:dispBlanksAs val="zero"/>
    <c:showDLblsOverMax val="0"/>
  </c:chart>
  <c:spPr>
    <a:solidFill>
      <a:schemeClr val="bg1"/>
    </a:solidFill>
    <a:ln w="9525" cap="flat" cmpd="sng" algn="ctr">
      <a:solidFill>
        <a:schemeClr val="tx1"/>
      </a:solidFill>
      <a:round/>
    </a:ln>
    <a:effectLst/>
  </c:spPr>
  <c:txPr>
    <a:bodyPr/>
    <a:lstStyle/>
    <a:p>
      <a:pPr>
        <a:defRPr>
          <a:latin typeface="Times New Roman" panose="02020603050405020304" pitchFamily="18" charset="0"/>
          <a:cs typeface="Times New Roman" panose="02020603050405020304" pitchFamily="18" charset="0"/>
        </a:defRPr>
      </a:pPr>
      <a:endParaRPr lang="cs-CZ"/>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obehova!$B$2</c:f>
              <c:strCache>
                <c:ptCount val="1"/>
                <c:pt idx="0">
                  <c:v>choroby obehovej sústavy</c:v>
                </c:pt>
              </c:strCache>
            </c:strRef>
          </c:tx>
          <c:invertIfNegative val="0"/>
          <c:dPt>
            <c:idx val="22"/>
            <c:invertIfNegative val="0"/>
            <c:bubble3D val="0"/>
            <c:spPr>
              <a:solidFill>
                <a:srgbClr val="C00000"/>
              </a:solidFill>
            </c:spPr>
            <c:extLst xmlns:c16r2="http://schemas.microsoft.com/office/drawing/2015/06/chart">
              <c:ext xmlns:c16="http://schemas.microsoft.com/office/drawing/2014/chart" uri="{C3380CC4-5D6E-409C-BE32-E72D297353CC}">
                <c16:uniqueId val="{00000001-1552-48B7-9470-5CC73911D820}"/>
              </c:ext>
            </c:extLst>
          </c:dPt>
          <c:cat>
            <c:strRef>
              <c:f>obehova!$A$3:$A$31</c:f>
              <c:strCache>
                <c:ptCount val="29"/>
                <c:pt idx="0">
                  <c:v>France (⁴)</c:v>
                </c:pt>
                <c:pt idx="1">
                  <c:v>Spain</c:v>
                </c:pt>
                <c:pt idx="2">
                  <c:v>United Kingdom</c:v>
                </c:pt>
                <c:pt idx="3">
                  <c:v>Denmark</c:v>
                </c:pt>
                <c:pt idx="4">
                  <c:v>Netherlands</c:v>
                </c:pt>
                <c:pt idx="5">
                  <c:v>Belgium</c:v>
                </c:pt>
                <c:pt idx="6">
                  <c:v>Portugal</c:v>
                </c:pt>
                <c:pt idx="7">
                  <c:v>Luxembourg</c:v>
                </c:pt>
                <c:pt idx="8">
                  <c:v>Italy</c:v>
                </c:pt>
                <c:pt idx="9">
                  <c:v>Ireland</c:v>
                </c:pt>
                <c:pt idx="10">
                  <c:v>Sweden</c:v>
                </c:pt>
                <c:pt idx="11">
                  <c:v>EU-28</c:v>
                </c:pt>
                <c:pt idx="12">
                  <c:v>Cyprus</c:v>
                </c:pt>
                <c:pt idx="13">
                  <c:v>Germany</c:v>
                </c:pt>
                <c:pt idx="14">
                  <c:v>Finland</c:v>
                </c:pt>
                <c:pt idx="15">
                  <c:v>Greece</c:v>
                </c:pt>
                <c:pt idx="16">
                  <c:v>Austria</c:v>
                </c:pt>
                <c:pt idx="17">
                  <c:v>Slovenia</c:v>
                </c:pt>
                <c:pt idx="18">
                  <c:v>Malta</c:v>
                </c:pt>
                <c:pt idx="19">
                  <c:v>Poland</c:v>
                </c:pt>
                <c:pt idx="20">
                  <c:v>Croatia</c:v>
                </c:pt>
                <c:pt idx="21">
                  <c:v>Czech Republic</c:v>
                </c:pt>
                <c:pt idx="22">
                  <c:v>Slovakia</c:v>
                </c:pt>
                <c:pt idx="23">
                  <c:v>Estonia</c:v>
                </c:pt>
                <c:pt idx="24">
                  <c:v>Hungary</c:v>
                </c:pt>
                <c:pt idx="25">
                  <c:v>Lithuania</c:v>
                </c:pt>
                <c:pt idx="26">
                  <c:v>Latvia</c:v>
                </c:pt>
                <c:pt idx="27">
                  <c:v>Romania</c:v>
                </c:pt>
                <c:pt idx="28">
                  <c:v>Bulgaria</c:v>
                </c:pt>
              </c:strCache>
            </c:strRef>
          </c:cat>
          <c:val>
            <c:numRef>
              <c:f>obehova!$B$3:$B$31</c:f>
              <c:numCache>
                <c:formatCode>#,##0.0_i</c:formatCode>
                <c:ptCount val="29"/>
                <c:pt idx="0">
                  <c:v>223.03</c:v>
                </c:pt>
                <c:pt idx="1">
                  <c:v>271.01</c:v>
                </c:pt>
                <c:pt idx="2">
                  <c:v>284.60000000000002</c:v>
                </c:pt>
                <c:pt idx="3">
                  <c:v>286.77999999999992</c:v>
                </c:pt>
                <c:pt idx="4">
                  <c:v>288.58</c:v>
                </c:pt>
                <c:pt idx="5">
                  <c:v>308.56</c:v>
                </c:pt>
                <c:pt idx="6">
                  <c:v>323.64999999999998</c:v>
                </c:pt>
                <c:pt idx="7">
                  <c:v>332.84</c:v>
                </c:pt>
                <c:pt idx="8">
                  <c:v>343.59</c:v>
                </c:pt>
                <c:pt idx="9">
                  <c:v>351.23</c:v>
                </c:pt>
                <c:pt idx="10">
                  <c:v>371.42</c:v>
                </c:pt>
                <c:pt idx="11">
                  <c:v>393.61</c:v>
                </c:pt>
                <c:pt idx="12">
                  <c:v>402.17</c:v>
                </c:pt>
                <c:pt idx="13">
                  <c:v>404.05</c:v>
                </c:pt>
                <c:pt idx="14">
                  <c:v>411.89</c:v>
                </c:pt>
                <c:pt idx="15">
                  <c:v>448.34</c:v>
                </c:pt>
                <c:pt idx="16">
                  <c:v>450.21</c:v>
                </c:pt>
                <c:pt idx="17">
                  <c:v>462.42</c:v>
                </c:pt>
                <c:pt idx="18">
                  <c:v>519.42999999999938</c:v>
                </c:pt>
                <c:pt idx="19">
                  <c:v>652.38</c:v>
                </c:pt>
                <c:pt idx="20">
                  <c:v>691.14</c:v>
                </c:pt>
                <c:pt idx="21">
                  <c:v>704.18</c:v>
                </c:pt>
                <c:pt idx="22">
                  <c:v>712.16</c:v>
                </c:pt>
                <c:pt idx="23">
                  <c:v>745.41</c:v>
                </c:pt>
                <c:pt idx="24">
                  <c:v>779.35999999999763</c:v>
                </c:pt>
                <c:pt idx="25">
                  <c:v>900.63</c:v>
                </c:pt>
                <c:pt idx="26">
                  <c:v>920.66</c:v>
                </c:pt>
                <c:pt idx="27">
                  <c:v>1039.1600000000001</c:v>
                </c:pt>
                <c:pt idx="28">
                  <c:v>1168.02</c:v>
                </c:pt>
              </c:numCache>
            </c:numRef>
          </c:val>
          <c:extLst xmlns:c16r2="http://schemas.microsoft.com/office/drawing/2015/06/chart">
            <c:ext xmlns:c16="http://schemas.microsoft.com/office/drawing/2014/chart" uri="{C3380CC4-5D6E-409C-BE32-E72D297353CC}">
              <c16:uniqueId val="{00000002-1552-48B7-9470-5CC73911D820}"/>
            </c:ext>
          </c:extLst>
        </c:ser>
        <c:dLbls>
          <c:showLegendKey val="0"/>
          <c:showVal val="0"/>
          <c:showCatName val="0"/>
          <c:showSerName val="0"/>
          <c:showPercent val="0"/>
          <c:showBubbleSize val="0"/>
        </c:dLbls>
        <c:gapWidth val="150"/>
        <c:axId val="493494584"/>
        <c:axId val="493491840"/>
      </c:barChart>
      <c:catAx>
        <c:axId val="493494584"/>
        <c:scaling>
          <c:orientation val="minMax"/>
        </c:scaling>
        <c:delete val="0"/>
        <c:axPos val="b"/>
        <c:numFmt formatCode="General" sourceLinked="0"/>
        <c:majorTickMark val="out"/>
        <c:minorTickMark val="none"/>
        <c:tickLblPos val="nextTo"/>
        <c:crossAx val="493491840"/>
        <c:crosses val="autoZero"/>
        <c:auto val="1"/>
        <c:lblAlgn val="ctr"/>
        <c:lblOffset val="100"/>
        <c:noMultiLvlLbl val="0"/>
      </c:catAx>
      <c:valAx>
        <c:axId val="493491840"/>
        <c:scaling>
          <c:orientation val="minMax"/>
        </c:scaling>
        <c:delete val="0"/>
        <c:axPos val="l"/>
        <c:majorGridlines>
          <c:spPr>
            <a:ln>
              <a:solidFill>
                <a:schemeClr val="tx1"/>
              </a:solidFill>
              <a:prstDash val="dash"/>
            </a:ln>
          </c:spPr>
        </c:majorGridlines>
        <c:numFmt formatCode="#,##0.0_i" sourceLinked="1"/>
        <c:majorTickMark val="out"/>
        <c:minorTickMark val="none"/>
        <c:tickLblPos val="nextTo"/>
        <c:crossAx val="493494584"/>
        <c:crosses val="autoZero"/>
        <c:crossBetween val="between"/>
      </c:valAx>
      <c:spPr>
        <a:ln>
          <a:solidFill>
            <a:schemeClr val="tx1"/>
          </a:solidFill>
        </a:ln>
      </c:spPr>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rakovina!$B$1</c:f>
              <c:strCache>
                <c:ptCount val="1"/>
                <c:pt idx="0">
                  <c:v>Rakovina</c:v>
                </c:pt>
              </c:strCache>
            </c:strRef>
          </c:tx>
          <c:invertIfNegative val="0"/>
          <c:dPt>
            <c:idx val="26"/>
            <c:invertIfNegative val="0"/>
            <c:bubble3D val="0"/>
            <c:spPr>
              <a:solidFill>
                <a:srgbClr val="C00000"/>
              </a:solidFill>
            </c:spPr>
            <c:extLst xmlns:c16r2="http://schemas.microsoft.com/office/drawing/2015/06/chart">
              <c:ext xmlns:c16="http://schemas.microsoft.com/office/drawing/2014/chart" uri="{C3380CC4-5D6E-409C-BE32-E72D297353CC}">
                <c16:uniqueId val="{00000001-2F4A-4D81-9A1B-6D39C0363691}"/>
              </c:ext>
            </c:extLst>
          </c:dPt>
          <c:cat>
            <c:strRef>
              <c:f>rakovina!$A$2:$A$30</c:f>
              <c:strCache>
                <c:ptCount val="29"/>
                <c:pt idx="0">
                  <c:v>Cyprus</c:v>
                </c:pt>
                <c:pt idx="1">
                  <c:v>Finland</c:v>
                </c:pt>
                <c:pt idx="2">
                  <c:v>Sweden</c:v>
                </c:pt>
                <c:pt idx="3">
                  <c:v>Spain</c:v>
                </c:pt>
                <c:pt idx="4">
                  <c:v>Portugal</c:v>
                </c:pt>
                <c:pt idx="5">
                  <c:v>Greece</c:v>
                </c:pt>
                <c:pt idx="6">
                  <c:v>Bulgaria</c:v>
                </c:pt>
                <c:pt idx="7">
                  <c:v>France (⁴)</c:v>
                </c:pt>
                <c:pt idx="8">
                  <c:v>Germany</c:v>
                </c:pt>
                <c:pt idx="9">
                  <c:v>Malta</c:v>
                </c:pt>
                <c:pt idx="10">
                  <c:v>Austria</c:v>
                </c:pt>
                <c:pt idx="11">
                  <c:v>Italy</c:v>
                </c:pt>
                <c:pt idx="12">
                  <c:v>Belgium</c:v>
                </c:pt>
                <c:pt idx="13">
                  <c:v>Luxembourg</c:v>
                </c:pt>
                <c:pt idx="14">
                  <c:v>EU-28</c:v>
                </c:pt>
                <c:pt idx="15">
                  <c:v>Romania</c:v>
                </c:pt>
                <c:pt idx="16">
                  <c:v>Lithuania</c:v>
                </c:pt>
                <c:pt idx="17">
                  <c:v>United Kingdom</c:v>
                </c:pt>
                <c:pt idx="18">
                  <c:v>Ireland</c:v>
                </c:pt>
                <c:pt idx="19">
                  <c:v>Estonia</c:v>
                </c:pt>
                <c:pt idx="20">
                  <c:v>Netherlands</c:v>
                </c:pt>
                <c:pt idx="21">
                  <c:v>Czech Republic</c:v>
                </c:pt>
                <c:pt idx="22">
                  <c:v>Poland</c:v>
                </c:pt>
                <c:pt idx="23">
                  <c:v>Latvia</c:v>
                </c:pt>
                <c:pt idx="24">
                  <c:v>Slovenia</c:v>
                </c:pt>
                <c:pt idx="25">
                  <c:v>Denmark</c:v>
                </c:pt>
                <c:pt idx="26">
                  <c:v>Slovakia</c:v>
                </c:pt>
                <c:pt idx="27">
                  <c:v>Croatia</c:v>
                </c:pt>
                <c:pt idx="28">
                  <c:v>Hungary</c:v>
                </c:pt>
              </c:strCache>
            </c:strRef>
          </c:cat>
          <c:val>
            <c:numRef>
              <c:f>rakovina!$B$2:$B$30</c:f>
              <c:numCache>
                <c:formatCode>#,##0.0_i</c:formatCode>
                <c:ptCount val="29"/>
                <c:pt idx="0">
                  <c:v>205.73</c:v>
                </c:pt>
                <c:pt idx="1">
                  <c:v>223.67</c:v>
                </c:pt>
                <c:pt idx="2">
                  <c:v>239.38</c:v>
                </c:pt>
                <c:pt idx="3">
                  <c:v>242.66</c:v>
                </c:pt>
                <c:pt idx="4">
                  <c:v>244.6</c:v>
                </c:pt>
                <c:pt idx="5">
                  <c:v>247.32</c:v>
                </c:pt>
                <c:pt idx="6">
                  <c:v>248.7</c:v>
                </c:pt>
                <c:pt idx="7">
                  <c:v>252.84</c:v>
                </c:pt>
                <c:pt idx="8">
                  <c:v>253.28</c:v>
                </c:pt>
                <c:pt idx="9">
                  <c:v>254.88</c:v>
                </c:pt>
                <c:pt idx="10">
                  <c:v>255.51</c:v>
                </c:pt>
                <c:pt idx="11">
                  <c:v>258.13</c:v>
                </c:pt>
                <c:pt idx="12">
                  <c:v>259.95999999999992</c:v>
                </c:pt>
                <c:pt idx="13">
                  <c:v>266.89999999999992</c:v>
                </c:pt>
                <c:pt idx="14">
                  <c:v>266.94</c:v>
                </c:pt>
                <c:pt idx="15">
                  <c:v>268.5</c:v>
                </c:pt>
                <c:pt idx="16">
                  <c:v>278.14</c:v>
                </c:pt>
                <c:pt idx="17">
                  <c:v>286.33</c:v>
                </c:pt>
                <c:pt idx="18">
                  <c:v>287.38</c:v>
                </c:pt>
                <c:pt idx="19">
                  <c:v>291.94</c:v>
                </c:pt>
                <c:pt idx="20">
                  <c:v>297.48</c:v>
                </c:pt>
                <c:pt idx="21">
                  <c:v>298.32</c:v>
                </c:pt>
                <c:pt idx="22">
                  <c:v>299.97000000000003</c:v>
                </c:pt>
                <c:pt idx="23">
                  <c:v>305.33999999999992</c:v>
                </c:pt>
                <c:pt idx="24">
                  <c:v>305.47000000000003</c:v>
                </c:pt>
                <c:pt idx="25">
                  <c:v>315.39999999999992</c:v>
                </c:pt>
                <c:pt idx="26">
                  <c:v>319.57</c:v>
                </c:pt>
                <c:pt idx="27">
                  <c:v>336.51</c:v>
                </c:pt>
                <c:pt idx="28">
                  <c:v>361.13</c:v>
                </c:pt>
              </c:numCache>
            </c:numRef>
          </c:val>
          <c:extLst xmlns:c16r2="http://schemas.microsoft.com/office/drawing/2015/06/chart">
            <c:ext xmlns:c16="http://schemas.microsoft.com/office/drawing/2014/chart" uri="{C3380CC4-5D6E-409C-BE32-E72D297353CC}">
              <c16:uniqueId val="{00000002-2F4A-4D81-9A1B-6D39C0363691}"/>
            </c:ext>
          </c:extLst>
        </c:ser>
        <c:dLbls>
          <c:showLegendKey val="0"/>
          <c:showVal val="0"/>
          <c:showCatName val="0"/>
          <c:showSerName val="0"/>
          <c:showPercent val="0"/>
          <c:showBubbleSize val="0"/>
        </c:dLbls>
        <c:gapWidth val="150"/>
        <c:axId val="493492232"/>
        <c:axId val="493493016"/>
      </c:barChart>
      <c:catAx>
        <c:axId val="493492232"/>
        <c:scaling>
          <c:orientation val="minMax"/>
        </c:scaling>
        <c:delete val="0"/>
        <c:axPos val="b"/>
        <c:numFmt formatCode="General" sourceLinked="0"/>
        <c:majorTickMark val="out"/>
        <c:minorTickMark val="none"/>
        <c:tickLblPos val="nextTo"/>
        <c:crossAx val="493493016"/>
        <c:crosses val="autoZero"/>
        <c:auto val="1"/>
        <c:lblAlgn val="ctr"/>
        <c:lblOffset val="100"/>
        <c:noMultiLvlLbl val="0"/>
      </c:catAx>
      <c:valAx>
        <c:axId val="493493016"/>
        <c:scaling>
          <c:orientation val="minMax"/>
        </c:scaling>
        <c:delete val="0"/>
        <c:axPos val="l"/>
        <c:majorGridlines>
          <c:spPr>
            <a:ln>
              <a:prstDash val="dash"/>
            </a:ln>
          </c:spPr>
        </c:majorGridlines>
        <c:numFmt formatCode="#,##0.0_i" sourceLinked="1"/>
        <c:majorTickMark val="out"/>
        <c:minorTickMark val="none"/>
        <c:tickLblPos val="nextTo"/>
        <c:crossAx val="493492232"/>
        <c:crosses val="autoZero"/>
        <c:crossBetween val="between"/>
      </c:valAx>
      <c:spPr>
        <a:ln>
          <a:solidFill>
            <a:schemeClr val="tx1"/>
          </a:solidFill>
        </a:ln>
      </c:spPr>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472399283422901E-2"/>
          <c:y val="5.2380952380952403E-2"/>
          <c:w val="0.913277159799469"/>
          <c:h val="0.642217917947422"/>
        </c:manualLayout>
      </c:layout>
      <c:barChart>
        <c:barDir val="col"/>
        <c:grouping val="clustered"/>
        <c:varyColors val="0"/>
        <c:ser>
          <c:idx val="0"/>
          <c:order val="0"/>
          <c:spPr>
            <a:solidFill>
              <a:schemeClr val="accent2">
                <a:lumMod val="40000"/>
                <a:lumOff val="60000"/>
              </a:schemeClr>
            </a:solidFill>
            <a:ln>
              <a:solidFill>
                <a:schemeClr val="tx1"/>
              </a:solidFill>
            </a:ln>
          </c:spPr>
          <c:invertIfNegative val="0"/>
          <c:dPt>
            <c:idx val="0"/>
            <c:invertIfNegative val="0"/>
            <c:bubble3D val="0"/>
            <c:spPr>
              <a:solidFill>
                <a:srgbClr val="0070C0"/>
              </a:solidFill>
              <a:ln>
                <a:solidFill>
                  <a:schemeClr val="tx1"/>
                </a:solidFill>
              </a:ln>
            </c:spPr>
            <c:extLst xmlns:c16r2="http://schemas.microsoft.com/office/drawing/2015/06/chart">
              <c:ext xmlns:c16="http://schemas.microsoft.com/office/drawing/2014/chart" uri="{C3380CC4-5D6E-409C-BE32-E72D297353CC}">
                <c16:uniqueId val="{00000002-31E6-43D5-B6BA-B149E3C7E21B}"/>
              </c:ext>
            </c:extLst>
          </c:dPt>
          <c:dPt>
            <c:idx val="25"/>
            <c:invertIfNegative val="0"/>
            <c:bubble3D val="0"/>
            <c:spPr>
              <a:solidFill>
                <a:srgbClr val="FF0000"/>
              </a:solidFill>
              <a:ln>
                <a:solidFill>
                  <a:schemeClr val="tx1"/>
                </a:solidFill>
              </a:ln>
            </c:spPr>
            <c:extLst xmlns:c16r2="http://schemas.microsoft.com/office/drawing/2015/06/chart">
              <c:ext xmlns:c16="http://schemas.microsoft.com/office/drawing/2014/chart" uri="{C3380CC4-5D6E-409C-BE32-E72D297353CC}">
                <c16:uniqueId val="{00000001-31E6-43D5-B6BA-B149E3C7E21B}"/>
              </c:ext>
            </c:extLst>
          </c:dPt>
          <c:cat>
            <c:strRef>
              <c:f>Hárok1!$A$5:$A$34</c:f>
              <c:strCache>
                <c:ptCount val="30"/>
                <c:pt idx="0">
                  <c:v>28 krajín EU</c:v>
                </c:pt>
                <c:pt idx="1">
                  <c:v>Belgicko</c:v>
                </c:pt>
                <c:pt idx="2">
                  <c:v>Bulharsko</c:v>
                </c:pt>
                <c:pt idx="3">
                  <c:v>Česko</c:v>
                </c:pt>
                <c:pt idx="4">
                  <c:v>Dánsko</c:v>
                </c:pt>
                <c:pt idx="5">
                  <c:v>Nemecko</c:v>
                </c:pt>
                <c:pt idx="6">
                  <c:v>Estónsko</c:v>
                </c:pt>
                <c:pt idx="7">
                  <c:v>Írsko</c:v>
                </c:pt>
                <c:pt idx="8">
                  <c:v>Grécko</c:v>
                </c:pt>
                <c:pt idx="9">
                  <c:v>Španielsko</c:v>
                </c:pt>
                <c:pt idx="10">
                  <c:v>Francúzsko</c:v>
                </c:pt>
                <c:pt idx="11">
                  <c:v>Chorvátsko</c:v>
                </c:pt>
                <c:pt idx="12">
                  <c:v>Taliansko</c:v>
                </c:pt>
                <c:pt idx="13">
                  <c:v>Cyprus</c:v>
                </c:pt>
                <c:pt idx="14">
                  <c:v>Lotyšsko</c:v>
                </c:pt>
                <c:pt idx="15">
                  <c:v>Litva</c:v>
                </c:pt>
                <c:pt idx="16">
                  <c:v>Luxembourg</c:v>
                </c:pt>
                <c:pt idx="17">
                  <c:v>Maďarsko</c:v>
                </c:pt>
                <c:pt idx="18">
                  <c:v>Malta</c:v>
                </c:pt>
                <c:pt idx="19">
                  <c:v>Holansko</c:v>
                </c:pt>
                <c:pt idx="20">
                  <c:v>Rakúsko</c:v>
                </c:pt>
                <c:pt idx="21">
                  <c:v>Poľsko</c:v>
                </c:pt>
                <c:pt idx="22">
                  <c:v>Portugalsko</c:v>
                </c:pt>
                <c:pt idx="23">
                  <c:v>Rumunsko</c:v>
                </c:pt>
                <c:pt idx="24">
                  <c:v>Slovinsko</c:v>
                </c:pt>
                <c:pt idx="25">
                  <c:v>Slovensko</c:v>
                </c:pt>
                <c:pt idx="26">
                  <c:v>Fínsko</c:v>
                </c:pt>
                <c:pt idx="27">
                  <c:v>Švédsko</c:v>
                </c:pt>
                <c:pt idx="28">
                  <c:v>Spojené kráľovstvo</c:v>
                </c:pt>
                <c:pt idx="29">
                  <c:v>Island</c:v>
                </c:pt>
              </c:strCache>
            </c:strRef>
          </c:cat>
          <c:val>
            <c:numRef>
              <c:f>Hárok1!$D$5:$D$34</c:f>
              <c:numCache>
                <c:formatCode>General</c:formatCode>
                <c:ptCount val="30"/>
                <c:pt idx="0">
                  <c:v>-19.803624812340569</c:v>
                </c:pt>
                <c:pt idx="1">
                  <c:v>-17.847124614652099</c:v>
                </c:pt>
                <c:pt idx="2">
                  <c:v>-48.815794959231972</c:v>
                </c:pt>
                <c:pt idx="3">
                  <c:v>-33.978993347011262</c:v>
                </c:pt>
                <c:pt idx="4">
                  <c:v>-19.60944972909514</c:v>
                </c:pt>
                <c:pt idx="5">
                  <c:v>-22.50458139694279</c:v>
                </c:pt>
                <c:pt idx="6">
                  <c:v>-45.612499171614942</c:v>
                </c:pt>
                <c:pt idx="7">
                  <c:v>4.888360197878197</c:v>
                </c:pt>
                <c:pt idx="8">
                  <c:v>0.12492749162235101</c:v>
                </c:pt>
                <c:pt idx="9">
                  <c:v>13.14192269645398</c:v>
                </c:pt>
                <c:pt idx="10">
                  <c:v>-9.2687952245628171</c:v>
                </c:pt>
                <c:pt idx="11">
                  <c:v>-30.11264672285704</c:v>
                </c:pt>
                <c:pt idx="12">
                  <c:v>-14.9829433628109</c:v>
                </c:pt>
                <c:pt idx="13">
                  <c:v>43.767614197221782</c:v>
                </c:pt>
                <c:pt idx="14">
                  <c:v>-57.233470340488161</c:v>
                </c:pt>
                <c:pt idx="15">
                  <c:v>-58.188489211617188</c:v>
                </c:pt>
                <c:pt idx="16">
                  <c:v>-7.5028864777449744</c:v>
                </c:pt>
                <c:pt idx="17">
                  <c:v>-38.84061594706359</c:v>
                </c:pt>
                <c:pt idx="18">
                  <c:v>41.286054703219882</c:v>
                </c:pt>
                <c:pt idx="19">
                  <c:v>-7.91218112850897</c:v>
                </c:pt>
                <c:pt idx="20">
                  <c:v>2.5341799574761179</c:v>
                </c:pt>
                <c:pt idx="21">
                  <c:v>-16.464067665181659</c:v>
                </c:pt>
                <c:pt idx="22">
                  <c:v>9.674234499210737</c:v>
                </c:pt>
                <c:pt idx="23">
                  <c:v>-56.152654748329169</c:v>
                </c:pt>
                <c:pt idx="24">
                  <c:v>-1.996619196430478</c:v>
                </c:pt>
                <c:pt idx="25">
                  <c:v>-42.10874492092335</c:v>
                </c:pt>
                <c:pt idx="26">
                  <c:v>-9.8888226722732657</c:v>
                </c:pt>
                <c:pt idx="27">
                  <c:v>-20.69633869384166</c:v>
                </c:pt>
                <c:pt idx="28">
                  <c:v>-26.23681560138953</c:v>
                </c:pt>
                <c:pt idx="29">
                  <c:v>24.55001634963131</c:v>
                </c:pt>
              </c:numCache>
            </c:numRef>
          </c:val>
          <c:extLst xmlns:c16r2="http://schemas.microsoft.com/office/drawing/2015/06/chart">
            <c:ext xmlns:c16="http://schemas.microsoft.com/office/drawing/2014/chart" uri="{C3380CC4-5D6E-409C-BE32-E72D297353CC}">
              <c16:uniqueId val="{00000000-31E6-43D5-B6BA-B149E3C7E21B}"/>
            </c:ext>
          </c:extLst>
        </c:ser>
        <c:dLbls>
          <c:showLegendKey val="0"/>
          <c:showVal val="0"/>
          <c:showCatName val="0"/>
          <c:showSerName val="0"/>
          <c:showPercent val="0"/>
          <c:showBubbleSize val="0"/>
        </c:dLbls>
        <c:gapWidth val="50"/>
        <c:axId val="493492624"/>
        <c:axId val="493493408"/>
      </c:barChart>
      <c:catAx>
        <c:axId val="493492624"/>
        <c:scaling>
          <c:orientation val="minMax"/>
        </c:scaling>
        <c:delete val="0"/>
        <c:axPos val="b"/>
        <c:numFmt formatCode="General" sourceLinked="1"/>
        <c:majorTickMark val="out"/>
        <c:minorTickMark val="none"/>
        <c:tickLblPos val="low"/>
        <c:crossAx val="493493408"/>
        <c:crosses val="autoZero"/>
        <c:auto val="1"/>
        <c:lblAlgn val="ctr"/>
        <c:lblOffset val="100"/>
        <c:noMultiLvlLbl val="0"/>
      </c:catAx>
      <c:valAx>
        <c:axId val="493493408"/>
        <c:scaling>
          <c:orientation val="minMax"/>
        </c:scaling>
        <c:delete val="0"/>
        <c:axPos val="l"/>
        <c:majorGridlines>
          <c:spPr>
            <a:ln>
              <a:prstDash val="dash"/>
            </a:ln>
          </c:spPr>
        </c:majorGridlines>
        <c:numFmt formatCode="General" sourceLinked="1"/>
        <c:majorTickMark val="out"/>
        <c:minorTickMark val="none"/>
        <c:tickLblPos val="nextTo"/>
        <c:crossAx val="493492624"/>
        <c:crosses val="autoZero"/>
        <c:crossBetween val="between"/>
      </c:valAx>
      <c:spPr>
        <a:ln>
          <a:solidFill>
            <a:schemeClr val="tx1"/>
          </a:solidFill>
        </a:ln>
      </c:spPr>
    </c:plotArea>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cs-CZ"/>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A7432-A227-42ED-BFA6-7E47AA3F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43</Pages>
  <Words>14168</Words>
  <Characters>83597</Characters>
  <Application>Microsoft Office Word</Application>
  <DocSecurity>0</DocSecurity>
  <Lines>696</Lines>
  <Paragraphs>195</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97570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Filcak</dc:creator>
  <cp:lastModifiedBy>Valeria Banko</cp:lastModifiedBy>
  <cp:revision>19</cp:revision>
  <dcterms:created xsi:type="dcterms:W3CDTF">2017-11-30T08:50:00Z</dcterms:created>
  <dcterms:modified xsi:type="dcterms:W3CDTF">2017-12-10T20:56:00Z</dcterms:modified>
</cp:coreProperties>
</file>