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FB60" w14:textId="08B429A0" w:rsidR="00B27685" w:rsidRPr="00F510FE" w:rsidRDefault="00047175" w:rsidP="00F510FE">
      <w:pPr>
        <w:pStyle w:val="Hlavika"/>
        <w:tabs>
          <w:tab w:val="left" w:pos="1977"/>
        </w:tabs>
        <w:ind w:firstLine="1977"/>
      </w:pPr>
      <w:r w:rsidRPr="00047175">
        <w:rPr>
          <w:noProof/>
          <w:lang w:eastAsia="sk-SK"/>
        </w:rPr>
        <w:drawing>
          <wp:anchor distT="0" distB="0" distL="114300" distR="114300" simplePos="0" relativeHeight="251661312" behindDoc="0" locked="0" layoutInCell="1" allowOverlap="1" wp14:anchorId="258EA8E4" wp14:editId="231BBD1B">
            <wp:simplePos x="0" y="0"/>
            <wp:positionH relativeFrom="page">
              <wp:align>center</wp:align>
            </wp:positionH>
            <wp:positionV relativeFrom="paragraph">
              <wp:posOffset>576</wp:posOffset>
            </wp:positionV>
            <wp:extent cx="1812651" cy="492760"/>
            <wp:effectExtent l="0" t="0" r="0" b="254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651" cy="492760"/>
                    </a:xfrm>
                    <a:prstGeom prst="rect">
                      <a:avLst/>
                    </a:prstGeom>
                    <a:noFill/>
                  </pic:spPr>
                </pic:pic>
              </a:graphicData>
            </a:graphic>
            <wp14:sizeRelH relativeFrom="page">
              <wp14:pctWidth>0</wp14:pctWidth>
            </wp14:sizeRelH>
            <wp14:sizeRelV relativeFrom="page">
              <wp14:pctHeight>0</wp14:pctHeight>
            </wp14:sizeRelV>
          </wp:anchor>
        </w:drawing>
      </w:r>
      <w:r w:rsidRPr="00047175">
        <w:rPr>
          <w:noProof/>
          <w:lang w:eastAsia="sk-SK"/>
        </w:rPr>
        <w:drawing>
          <wp:anchor distT="0" distB="0" distL="114300" distR="114300" simplePos="0" relativeHeight="251660288" behindDoc="1" locked="0" layoutInCell="1" allowOverlap="1" wp14:anchorId="4AC23578" wp14:editId="15BA40D6">
            <wp:simplePos x="0" y="0"/>
            <wp:positionH relativeFrom="margin">
              <wp:align>right</wp:align>
            </wp:positionH>
            <wp:positionV relativeFrom="paragraph">
              <wp:posOffset>11430</wp:posOffset>
            </wp:positionV>
            <wp:extent cx="1638935" cy="459740"/>
            <wp:effectExtent l="0" t="0" r="0" b="0"/>
            <wp:wrapTight wrapText="bothSides">
              <wp:wrapPolygon edited="0">
                <wp:start x="0" y="0"/>
                <wp:lineTo x="0" y="20586"/>
                <wp:lineTo x="21341" y="20586"/>
                <wp:lineTo x="21341" y="0"/>
                <wp:lineTo x="0" y="0"/>
              </wp:wrapPolygon>
            </wp:wrapTight>
            <wp:docPr id="9" name="Obrázok 9"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047175">
        <w:rPr>
          <w:noProof/>
          <w:lang w:eastAsia="sk-SK"/>
        </w:rPr>
        <w:drawing>
          <wp:anchor distT="0" distB="0" distL="114300" distR="114300" simplePos="0" relativeHeight="251659264" behindDoc="1" locked="0" layoutInCell="1" allowOverlap="1" wp14:anchorId="0AA2A7B0" wp14:editId="40919BA8">
            <wp:simplePos x="0" y="0"/>
            <wp:positionH relativeFrom="margin">
              <wp:align>left</wp:align>
            </wp:positionH>
            <wp:positionV relativeFrom="paragraph">
              <wp:posOffset>473</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8" name="Obrázok 8"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21836C51" w14:textId="4D7EF0C6" w:rsidR="00714D15" w:rsidRPr="00F510FE" w:rsidRDefault="00714D15" w:rsidP="00F510FE"/>
    <w:p w14:paraId="49DF1C1E" w14:textId="77777777" w:rsidR="00A52346" w:rsidRPr="00F510FE" w:rsidRDefault="00A52346" w:rsidP="00F510FE">
      <w:pPr>
        <w:jc w:val="both"/>
        <w:rPr>
          <w:b/>
          <w:bCs/>
        </w:rPr>
      </w:pPr>
    </w:p>
    <w:p w14:paraId="0F4689B0" w14:textId="77777777" w:rsidR="00E54ACB" w:rsidRPr="00F510FE" w:rsidRDefault="00E54ACB" w:rsidP="00F510FE"/>
    <w:p w14:paraId="201CCFCC" w14:textId="77777777" w:rsidR="00E54ACB" w:rsidRPr="00F510FE" w:rsidRDefault="00E54ACB" w:rsidP="00F510FE"/>
    <w:p w14:paraId="0C5C9B0E" w14:textId="50249C3B" w:rsidR="00B27685" w:rsidRPr="00F510FE" w:rsidRDefault="00B27685" w:rsidP="00F510FE"/>
    <w:p w14:paraId="57B528AC" w14:textId="77777777" w:rsidR="00E54ACB" w:rsidRPr="00F510FE" w:rsidRDefault="00E54ACB" w:rsidP="00F510FE"/>
    <w:p w14:paraId="03F1B9B9" w14:textId="77777777" w:rsidR="00EB2F61" w:rsidRPr="00F510FE" w:rsidRDefault="00EB2F61" w:rsidP="00F510FE"/>
    <w:p w14:paraId="6B6EB277" w14:textId="43B06510" w:rsidR="00EB2F61" w:rsidRPr="00F510FE" w:rsidRDefault="00EB2F61" w:rsidP="00F510FE"/>
    <w:p w14:paraId="6121DDB1" w14:textId="75217EA2" w:rsidR="003F06E5" w:rsidRPr="00F510FE" w:rsidRDefault="003F06E5" w:rsidP="00F510FE"/>
    <w:p w14:paraId="210406E9" w14:textId="7A2A579D" w:rsidR="003F06E5" w:rsidRPr="00F510FE" w:rsidRDefault="003F06E5" w:rsidP="00F510FE"/>
    <w:p w14:paraId="45701CEB" w14:textId="47F505D7" w:rsidR="003F06E5" w:rsidRPr="00F510FE" w:rsidRDefault="003F06E5" w:rsidP="00F510FE"/>
    <w:p w14:paraId="1DEDDCCE" w14:textId="77777777" w:rsidR="003F06E5" w:rsidRPr="00F510FE" w:rsidRDefault="003F06E5" w:rsidP="00F510FE"/>
    <w:p w14:paraId="41FFDB44" w14:textId="77777777" w:rsidR="00EB2F61" w:rsidRPr="00F510FE" w:rsidRDefault="00EB2F61" w:rsidP="00F510FE"/>
    <w:p w14:paraId="10C16B48" w14:textId="77777777" w:rsidR="00EB2F61" w:rsidRPr="00F510FE" w:rsidRDefault="00EB2F61" w:rsidP="00F510FE"/>
    <w:p w14:paraId="673D59EF" w14:textId="77777777" w:rsidR="00EB2F61" w:rsidRPr="00F510FE" w:rsidRDefault="00EB2F61" w:rsidP="00F510FE"/>
    <w:p w14:paraId="5BE63E5A" w14:textId="43CA1598" w:rsidR="00E54ACB" w:rsidRPr="00F510FE" w:rsidRDefault="008F3949" w:rsidP="00F510FE">
      <w:pPr>
        <w:jc w:val="center"/>
        <w:rPr>
          <w:b/>
          <w:bCs/>
          <w:sz w:val="36"/>
          <w:szCs w:val="36"/>
        </w:rPr>
      </w:pPr>
      <w:r w:rsidRPr="00F510FE">
        <w:rPr>
          <w:b/>
          <w:bCs/>
          <w:sz w:val="36"/>
          <w:szCs w:val="36"/>
        </w:rPr>
        <w:t>Integrovan</w:t>
      </w:r>
      <w:r w:rsidR="00094181">
        <w:rPr>
          <w:b/>
          <w:bCs/>
          <w:sz w:val="36"/>
          <w:szCs w:val="36"/>
        </w:rPr>
        <w:t>ý</w:t>
      </w:r>
      <w:r w:rsidRPr="00F510FE">
        <w:rPr>
          <w:b/>
          <w:bCs/>
          <w:sz w:val="36"/>
          <w:szCs w:val="36"/>
        </w:rPr>
        <w:t xml:space="preserve"> regionáln</w:t>
      </w:r>
      <w:r w:rsidR="00094181">
        <w:rPr>
          <w:b/>
          <w:bCs/>
          <w:sz w:val="36"/>
          <w:szCs w:val="36"/>
        </w:rPr>
        <w:t>y</w:t>
      </w:r>
      <w:r w:rsidRPr="00F510FE">
        <w:rPr>
          <w:b/>
          <w:bCs/>
          <w:sz w:val="36"/>
          <w:szCs w:val="36"/>
        </w:rPr>
        <w:t xml:space="preserve"> operačn</w:t>
      </w:r>
      <w:r w:rsidR="00094181">
        <w:rPr>
          <w:b/>
          <w:bCs/>
          <w:sz w:val="36"/>
          <w:szCs w:val="36"/>
        </w:rPr>
        <w:t>ý</w:t>
      </w:r>
    </w:p>
    <w:p w14:paraId="2AF2E3CE" w14:textId="1B4CD2E6" w:rsidR="00E54ACB" w:rsidRPr="00F510FE" w:rsidRDefault="00E54ACB" w:rsidP="00F510FE">
      <w:pPr>
        <w:jc w:val="center"/>
        <w:rPr>
          <w:b/>
          <w:bCs/>
          <w:sz w:val="36"/>
          <w:szCs w:val="36"/>
        </w:rPr>
      </w:pPr>
      <w:r w:rsidRPr="00F510FE">
        <w:rPr>
          <w:b/>
          <w:bCs/>
          <w:sz w:val="36"/>
          <w:szCs w:val="36"/>
        </w:rPr>
        <w:t>program 2014 – 2020</w:t>
      </w:r>
      <w:r w:rsidR="008F3949" w:rsidRPr="00F510FE">
        <w:rPr>
          <w:b/>
          <w:bCs/>
          <w:sz w:val="36"/>
          <w:szCs w:val="36"/>
        </w:rPr>
        <w:t xml:space="preserve">, verzia </w:t>
      </w:r>
      <w:r w:rsidR="00047175">
        <w:rPr>
          <w:b/>
          <w:bCs/>
          <w:sz w:val="36"/>
          <w:szCs w:val="36"/>
        </w:rPr>
        <w:t>1</w:t>
      </w:r>
      <w:r w:rsidR="00597B23">
        <w:rPr>
          <w:b/>
          <w:bCs/>
          <w:sz w:val="36"/>
          <w:szCs w:val="36"/>
        </w:rPr>
        <w:t>2</w:t>
      </w:r>
      <w:r w:rsidR="008F3949" w:rsidRPr="00F510FE">
        <w:rPr>
          <w:b/>
          <w:bCs/>
          <w:sz w:val="36"/>
          <w:szCs w:val="36"/>
        </w:rPr>
        <w:t>.</w:t>
      </w:r>
      <w:r w:rsidR="001B4EC6" w:rsidRPr="00F510FE">
        <w:rPr>
          <w:b/>
          <w:bCs/>
          <w:sz w:val="36"/>
          <w:szCs w:val="36"/>
        </w:rPr>
        <w:t>0</w:t>
      </w:r>
    </w:p>
    <w:p w14:paraId="5A0BF5F1" w14:textId="77777777" w:rsidR="00E54ACB" w:rsidRPr="00F510FE" w:rsidRDefault="00E54ACB" w:rsidP="00F510FE">
      <w:pPr>
        <w:jc w:val="center"/>
        <w:rPr>
          <w:b/>
          <w:bCs/>
          <w:sz w:val="36"/>
          <w:szCs w:val="36"/>
        </w:rPr>
      </w:pPr>
      <w:r w:rsidRPr="00F510FE">
        <w:rPr>
          <w:b/>
          <w:bCs/>
          <w:sz w:val="36"/>
          <w:szCs w:val="36"/>
        </w:rPr>
        <w:t>______________</w:t>
      </w:r>
      <w:r w:rsidR="00A52346" w:rsidRPr="00F510FE">
        <w:rPr>
          <w:b/>
          <w:bCs/>
          <w:sz w:val="36"/>
          <w:szCs w:val="36"/>
        </w:rPr>
        <w:t>_______________________________</w:t>
      </w:r>
    </w:p>
    <w:p w14:paraId="17E71457" w14:textId="77777777" w:rsidR="00E54ACB" w:rsidRPr="00F510FE" w:rsidRDefault="00E54ACB" w:rsidP="00F510FE"/>
    <w:p w14:paraId="170415C4" w14:textId="77777777" w:rsidR="00B27685" w:rsidRPr="00F510FE" w:rsidRDefault="00B27685" w:rsidP="00F510FE"/>
    <w:p w14:paraId="12C3B09C" w14:textId="77777777" w:rsidR="00B27685" w:rsidRPr="00F510FE" w:rsidRDefault="00B27685" w:rsidP="00F510FE"/>
    <w:p w14:paraId="785B112F" w14:textId="77777777" w:rsidR="00B27685" w:rsidRPr="00F510FE" w:rsidRDefault="00B27685" w:rsidP="00F510FE"/>
    <w:p w14:paraId="0F8B84DD" w14:textId="77777777" w:rsidR="00EB2F61" w:rsidRPr="00F510FE" w:rsidRDefault="00EB2F61" w:rsidP="00F510FE"/>
    <w:p w14:paraId="58AF20F9" w14:textId="77777777" w:rsidR="00B27685" w:rsidRPr="00F510FE" w:rsidRDefault="00B27685" w:rsidP="00F510FE"/>
    <w:p w14:paraId="5190D5AF" w14:textId="77777777" w:rsidR="00E54ACB" w:rsidRPr="00F510FE" w:rsidRDefault="00E54ACB" w:rsidP="00F510FE">
      <w:pPr>
        <w:jc w:val="center"/>
        <w:rPr>
          <w:b/>
          <w:bCs/>
          <w:color w:val="008000"/>
          <w:sz w:val="36"/>
          <w:szCs w:val="36"/>
        </w:rPr>
      </w:pPr>
      <w:r w:rsidRPr="00F510FE">
        <w:rPr>
          <w:b/>
          <w:bCs/>
          <w:color w:val="008000"/>
          <w:sz w:val="36"/>
          <w:szCs w:val="36"/>
        </w:rPr>
        <w:t>Oznámenie o</w:t>
      </w:r>
      <w:r w:rsidR="00B27685" w:rsidRPr="00F510FE">
        <w:rPr>
          <w:b/>
          <w:bCs/>
          <w:color w:val="008000"/>
          <w:sz w:val="36"/>
          <w:szCs w:val="36"/>
        </w:rPr>
        <w:t> zmene strategického dokumentu</w:t>
      </w:r>
    </w:p>
    <w:p w14:paraId="3C6283A0" w14:textId="77777777" w:rsidR="00B27685" w:rsidRPr="00F510FE" w:rsidRDefault="00F523BD" w:rsidP="00F510FE">
      <w:pPr>
        <w:jc w:val="center"/>
        <w:rPr>
          <w:color w:val="008000"/>
        </w:rPr>
      </w:pPr>
      <w:r w:rsidRPr="00F510FE">
        <w:rPr>
          <w:color w:val="008000"/>
        </w:rPr>
        <w:t>podľa zákona č. 24/2006</w:t>
      </w:r>
      <w:r w:rsidR="00B27685" w:rsidRPr="00F510FE">
        <w:rPr>
          <w:color w:val="008000"/>
        </w:rPr>
        <w:t xml:space="preserve"> Z. z. o posudzovaní vplyvov na životné prostredie a o zmene a doplnení niektorých zákonov v znení neskorších predpisov</w:t>
      </w:r>
    </w:p>
    <w:p w14:paraId="2A605DEE" w14:textId="77777777" w:rsidR="00E54ACB" w:rsidRPr="00F510FE" w:rsidRDefault="00E54ACB" w:rsidP="00F510FE"/>
    <w:p w14:paraId="4E002DE8" w14:textId="77777777" w:rsidR="00247EF6" w:rsidRPr="00F510FE" w:rsidRDefault="00247EF6" w:rsidP="00F510FE">
      <w:pPr>
        <w:rPr>
          <w:bCs/>
          <w:sz w:val="22"/>
          <w:szCs w:val="22"/>
        </w:rPr>
      </w:pPr>
    </w:p>
    <w:p w14:paraId="77EDEAD4" w14:textId="77777777" w:rsidR="008722EB" w:rsidRPr="00F510FE" w:rsidRDefault="008722EB" w:rsidP="00F510FE">
      <w:pPr>
        <w:rPr>
          <w:bCs/>
          <w:sz w:val="22"/>
          <w:szCs w:val="22"/>
        </w:rPr>
      </w:pPr>
    </w:p>
    <w:p w14:paraId="558E4448" w14:textId="77777777" w:rsidR="00EB2F61" w:rsidRPr="00F510FE" w:rsidRDefault="00EB2F61" w:rsidP="00F510FE">
      <w:pPr>
        <w:rPr>
          <w:bCs/>
          <w:sz w:val="22"/>
          <w:szCs w:val="22"/>
        </w:rPr>
      </w:pPr>
    </w:p>
    <w:p w14:paraId="4DDE5645" w14:textId="77777777" w:rsidR="00EB2F61" w:rsidRPr="00F510FE" w:rsidRDefault="00EB2F61" w:rsidP="00F510FE">
      <w:pPr>
        <w:rPr>
          <w:bCs/>
          <w:sz w:val="22"/>
          <w:szCs w:val="22"/>
        </w:rPr>
      </w:pPr>
    </w:p>
    <w:p w14:paraId="65A08648" w14:textId="77777777" w:rsidR="00EB2F61" w:rsidRPr="00F510FE" w:rsidRDefault="00EB2F61" w:rsidP="00F510FE">
      <w:pPr>
        <w:rPr>
          <w:bCs/>
          <w:sz w:val="22"/>
          <w:szCs w:val="22"/>
        </w:rPr>
      </w:pPr>
    </w:p>
    <w:p w14:paraId="49F4AD3B" w14:textId="77777777" w:rsidR="00EB2F61" w:rsidRPr="00F510FE" w:rsidRDefault="00EB2F61" w:rsidP="00F510FE">
      <w:pPr>
        <w:rPr>
          <w:bCs/>
          <w:sz w:val="22"/>
          <w:szCs w:val="22"/>
        </w:rPr>
      </w:pPr>
    </w:p>
    <w:p w14:paraId="4AA68CAC" w14:textId="77777777" w:rsidR="00EB2F61" w:rsidRPr="00F510FE" w:rsidRDefault="00EB2F61" w:rsidP="00F510FE">
      <w:pPr>
        <w:rPr>
          <w:bCs/>
          <w:sz w:val="22"/>
          <w:szCs w:val="22"/>
        </w:rPr>
      </w:pPr>
    </w:p>
    <w:p w14:paraId="726F6CF6" w14:textId="77777777" w:rsidR="00EB2F61" w:rsidRPr="00F510FE" w:rsidRDefault="00EB2F61" w:rsidP="00F510FE">
      <w:pPr>
        <w:rPr>
          <w:bCs/>
          <w:sz w:val="22"/>
          <w:szCs w:val="22"/>
        </w:rPr>
      </w:pPr>
    </w:p>
    <w:p w14:paraId="37B40856" w14:textId="77777777" w:rsidR="00EB2F61" w:rsidRPr="00F510FE" w:rsidRDefault="00EB2F61" w:rsidP="00F510FE">
      <w:pPr>
        <w:rPr>
          <w:bCs/>
          <w:sz w:val="22"/>
          <w:szCs w:val="22"/>
        </w:rPr>
      </w:pPr>
    </w:p>
    <w:p w14:paraId="10B0A589" w14:textId="77777777" w:rsidR="00EB2F61" w:rsidRPr="00F510FE" w:rsidRDefault="00EB2F61" w:rsidP="00F510FE">
      <w:pPr>
        <w:rPr>
          <w:bCs/>
          <w:sz w:val="22"/>
          <w:szCs w:val="22"/>
        </w:rPr>
      </w:pPr>
    </w:p>
    <w:p w14:paraId="63CB2786" w14:textId="77777777" w:rsidR="00EB2F61" w:rsidRPr="00F510FE" w:rsidRDefault="00EB2F61" w:rsidP="00F510FE">
      <w:pPr>
        <w:rPr>
          <w:bCs/>
          <w:sz w:val="22"/>
          <w:szCs w:val="22"/>
        </w:rPr>
      </w:pPr>
    </w:p>
    <w:p w14:paraId="1FDB940F" w14:textId="77777777" w:rsidR="00EB2F61" w:rsidRPr="00F510FE" w:rsidRDefault="00EB2F61" w:rsidP="00F510FE">
      <w:pPr>
        <w:rPr>
          <w:bCs/>
          <w:sz w:val="22"/>
          <w:szCs w:val="22"/>
        </w:rPr>
      </w:pPr>
    </w:p>
    <w:p w14:paraId="1C92A5C5" w14:textId="77777777" w:rsidR="00B27685" w:rsidRPr="00F510FE" w:rsidRDefault="00B27685" w:rsidP="00F510FE">
      <w:pPr>
        <w:rPr>
          <w:bCs/>
          <w:sz w:val="22"/>
          <w:szCs w:val="22"/>
        </w:rPr>
      </w:pPr>
    </w:p>
    <w:p w14:paraId="37B0092E" w14:textId="77777777" w:rsidR="00EB2F61" w:rsidRPr="00F510FE" w:rsidRDefault="00EB2F61" w:rsidP="00F510FE">
      <w:pPr>
        <w:rPr>
          <w:bCs/>
          <w:sz w:val="22"/>
          <w:szCs w:val="22"/>
        </w:rPr>
      </w:pPr>
    </w:p>
    <w:p w14:paraId="775CFE01" w14:textId="77777777" w:rsidR="00EB2F61" w:rsidRPr="00F510FE" w:rsidRDefault="00EB2F61" w:rsidP="00F510FE">
      <w:pPr>
        <w:rPr>
          <w:bCs/>
          <w:sz w:val="22"/>
          <w:szCs w:val="22"/>
        </w:rPr>
      </w:pPr>
    </w:p>
    <w:p w14:paraId="4053D3AC" w14:textId="031FFDA1" w:rsidR="00EB2F61" w:rsidRPr="00F510FE" w:rsidRDefault="00B27685" w:rsidP="00F510FE">
      <w:pPr>
        <w:jc w:val="center"/>
        <w:rPr>
          <w:bCs/>
          <w:sz w:val="22"/>
          <w:szCs w:val="22"/>
        </w:rPr>
      </w:pPr>
      <w:r w:rsidRPr="00F510FE">
        <w:rPr>
          <w:bCs/>
          <w:sz w:val="22"/>
          <w:szCs w:val="22"/>
        </w:rPr>
        <w:t xml:space="preserve">Bratislava, </w:t>
      </w:r>
      <w:r w:rsidR="00F054DD">
        <w:rPr>
          <w:bCs/>
          <w:sz w:val="22"/>
          <w:szCs w:val="22"/>
        </w:rPr>
        <w:t>jún</w:t>
      </w:r>
      <w:r w:rsidR="00047175">
        <w:rPr>
          <w:bCs/>
          <w:sz w:val="22"/>
          <w:szCs w:val="22"/>
        </w:rPr>
        <w:t xml:space="preserve"> 2022</w:t>
      </w:r>
    </w:p>
    <w:p w14:paraId="6FE8688D" w14:textId="77777777" w:rsidR="00EB2F61" w:rsidRPr="00F510FE" w:rsidRDefault="00EB2F61" w:rsidP="00F510FE">
      <w:pPr>
        <w:rPr>
          <w:bCs/>
          <w:sz w:val="22"/>
          <w:szCs w:val="22"/>
        </w:rPr>
      </w:pPr>
    </w:p>
    <w:p w14:paraId="734BB166" w14:textId="6AEC4659" w:rsidR="00B27685" w:rsidRPr="00F510FE" w:rsidRDefault="00B27685" w:rsidP="00F510FE">
      <w:pPr>
        <w:rPr>
          <w:bCs/>
          <w:sz w:val="22"/>
          <w:szCs w:val="22"/>
        </w:rPr>
      </w:pPr>
      <w:r w:rsidRPr="00F510FE">
        <w:rPr>
          <w:b/>
          <w:bCs/>
          <w:sz w:val="36"/>
          <w:szCs w:val="36"/>
          <w:u w:val="single"/>
        </w:rPr>
        <w:br w:type="page"/>
      </w:r>
    </w:p>
    <w:p w14:paraId="39E19B0E" w14:textId="77777777" w:rsidR="00E54ACB" w:rsidRPr="00F510FE" w:rsidRDefault="00E54ACB" w:rsidP="00F510FE">
      <w:pPr>
        <w:spacing w:before="80" w:line="276" w:lineRule="auto"/>
        <w:ind w:left="357" w:hanging="357"/>
        <w:rPr>
          <w:b/>
          <w:bCs/>
          <w:sz w:val="22"/>
          <w:szCs w:val="22"/>
        </w:rPr>
      </w:pPr>
      <w:r w:rsidRPr="00F510FE">
        <w:rPr>
          <w:b/>
          <w:bCs/>
          <w:sz w:val="22"/>
          <w:szCs w:val="22"/>
        </w:rPr>
        <w:lastRenderedPageBreak/>
        <w:t>I.</w:t>
      </w:r>
      <w:r w:rsidRPr="00F510FE">
        <w:rPr>
          <w:b/>
          <w:bCs/>
          <w:sz w:val="22"/>
          <w:szCs w:val="22"/>
        </w:rPr>
        <w:tab/>
        <w:t>Základné údaje o obstarávateľovi</w:t>
      </w:r>
    </w:p>
    <w:p w14:paraId="4ABD9991" w14:textId="0E6D970E" w:rsidR="00E54ACB" w:rsidRPr="00F510FE" w:rsidRDefault="00E54ACB" w:rsidP="00094181">
      <w:pPr>
        <w:spacing w:before="120" w:line="276" w:lineRule="auto"/>
        <w:ind w:left="567" w:hanging="210"/>
        <w:jc w:val="both"/>
        <w:rPr>
          <w:b/>
          <w:bCs/>
          <w:sz w:val="22"/>
          <w:szCs w:val="22"/>
        </w:rPr>
      </w:pPr>
      <w:r w:rsidRPr="00F510FE">
        <w:rPr>
          <w:b/>
          <w:bCs/>
          <w:sz w:val="22"/>
          <w:szCs w:val="22"/>
        </w:rPr>
        <w:t>1.</w:t>
      </w:r>
      <w:r w:rsidRPr="00F510FE">
        <w:rPr>
          <w:b/>
          <w:bCs/>
          <w:sz w:val="22"/>
          <w:szCs w:val="22"/>
        </w:rPr>
        <w:tab/>
        <w:t>Názov</w:t>
      </w:r>
    </w:p>
    <w:p w14:paraId="66B931C1" w14:textId="68D753E4" w:rsidR="00E54ACB" w:rsidRPr="00F510FE" w:rsidRDefault="00E54ACB" w:rsidP="00F510FE">
      <w:pPr>
        <w:spacing w:before="80" w:line="276" w:lineRule="auto"/>
        <w:ind w:left="567"/>
        <w:jc w:val="both"/>
        <w:rPr>
          <w:sz w:val="22"/>
          <w:szCs w:val="22"/>
        </w:rPr>
      </w:pPr>
      <w:r w:rsidRPr="00F510FE">
        <w:rPr>
          <w:sz w:val="22"/>
          <w:szCs w:val="22"/>
        </w:rPr>
        <w:t xml:space="preserve">Ministerstvo </w:t>
      </w:r>
      <w:r w:rsidR="00C62FB0">
        <w:rPr>
          <w:sz w:val="22"/>
          <w:szCs w:val="22"/>
        </w:rPr>
        <w:t>investícií, regionálneho rozvoja a informatizácie</w:t>
      </w:r>
      <w:r w:rsidRPr="00F510FE">
        <w:rPr>
          <w:sz w:val="22"/>
          <w:szCs w:val="22"/>
        </w:rPr>
        <w:t xml:space="preserve"> SR</w:t>
      </w:r>
    </w:p>
    <w:p w14:paraId="209A197D" w14:textId="77777777" w:rsidR="00E54ACB" w:rsidRPr="00F510FE" w:rsidRDefault="00E54ACB" w:rsidP="00094181">
      <w:pPr>
        <w:spacing w:before="120" w:line="276" w:lineRule="auto"/>
        <w:ind w:left="567" w:hanging="210"/>
        <w:jc w:val="both"/>
        <w:rPr>
          <w:b/>
          <w:bCs/>
          <w:sz w:val="22"/>
          <w:szCs w:val="22"/>
        </w:rPr>
      </w:pPr>
      <w:r w:rsidRPr="00F510FE">
        <w:rPr>
          <w:b/>
          <w:bCs/>
          <w:sz w:val="22"/>
          <w:szCs w:val="22"/>
        </w:rPr>
        <w:t>2.</w:t>
      </w:r>
      <w:r w:rsidRPr="00F510FE">
        <w:rPr>
          <w:b/>
          <w:bCs/>
          <w:sz w:val="22"/>
          <w:szCs w:val="22"/>
        </w:rPr>
        <w:tab/>
        <w:t>Identifikačné číslo</w:t>
      </w:r>
    </w:p>
    <w:p w14:paraId="34D22B5F" w14:textId="73E8271B" w:rsidR="006A344A" w:rsidRPr="006A344A" w:rsidRDefault="006A344A" w:rsidP="006A344A">
      <w:pPr>
        <w:spacing w:before="80" w:line="276" w:lineRule="auto"/>
        <w:ind w:left="567"/>
        <w:jc w:val="both"/>
        <w:rPr>
          <w:sz w:val="22"/>
          <w:szCs w:val="22"/>
        </w:rPr>
      </w:pPr>
      <w:r w:rsidRPr="006A344A">
        <w:rPr>
          <w:sz w:val="22"/>
          <w:szCs w:val="22"/>
        </w:rPr>
        <w:t>50 349 287</w:t>
      </w:r>
    </w:p>
    <w:p w14:paraId="48ED13EB" w14:textId="6A17497F" w:rsidR="00E54ACB" w:rsidRPr="00F510FE" w:rsidRDefault="00E54ACB" w:rsidP="00094181">
      <w:pPr>
        <w:spacing w:before="120" w:line="276" w:lineRule="auto"/>
        <w:ind w:left="567" w:hanging="210"/>
        <w:jc w:val="both"/>
        <w:rPr>
          <w:b/>
          <w:bCs/>
          <w:sz w:val="22"/>
          <w:szCs w:val="22"/>
        </w:rPr>
      </w:pPr>
      <w:r w:rsidRPr="00F510FE">
        <w:rPr>
          <w:b/>
          <w:bCs/>
          <w:sz w:val="22"/>
          <w:szCs w:val="22"/>
        </w:rPr>
        <w:t>3.</w:t>
      </w:r>
      <w:r w:rsidRPr="00F510FE">
        <w:rPr>
          <w:b/>
          <w:bCs/>
          <w:sz w:val="22"/>
          <w:szCs w:val="22"/>
        </w:rPr>
        <w:tab/>
        <w:t>Adresa sídla</w:t>
      </w:r>
    </w:p>
    <w:p w14:paraId="4A21E720" w14:textId="160F5FB4" w:rsidR="00B27685" w:rsidRPr="00F510FE" w:rsidRDefault="00C62FB0" w:rsidP="00C62FB0">
      <w:pPr>
        <w:spacing w:before="80" w:line="276" w:lineRule="auto"/>
        <w:ind w:left="567"/>
        <w:contextualSpacing/>
        <w:jc w:val="both"/>
        <w:rPr>
          <w:sz w:val="22"/>
          <w:szCs w:val="22"/>
        </w:rPr>
      </w:pPr>
      <w:r>
        <w:rPr>
          <w:sz w:val="22"/>
          <w:szCs w:val="22"/>
        </w:rPr>
        <w:t>Štefániková 15</w:t>
      </w:r>
      <w:r w:rsidR="00E54ACB" w:rsidRPr="00F510FE">
        <w:rPr>
          <w:sz w:val="22"/>
          <w:szCs w:val="22"/>
        </w:rPr>
        <w:t xml:space="preserve"> </w:t>
      </w:r>
    </w:p>
    <w:p w14:paraId="1F889962" w14:textId="77777777" w:rsidR="00C62FB0" w:rsidRPr="00C62FB0" w:rsidRDefault="00C62FB0" w:rsidP="00F510FE">
      <w:pPr>
        <w:spacing w:before="80" w:line="276" w:lineRule="auto"/>
        <w:ind w:left="567"/>
        <w:contextualSpacing/>
        <w:jc w:val="both"/>
        <w:rPr>
          <w:sz w:val="22"/>
          <w:szCs w:val="22"/>
        </w:rPr>
      </w:pPr>
      <w:r w:rsidRPr="00C62FB0">
        <w:rPr>
          <w:sz w:val="22"/>
          <w:szCs w:val="22"/>
        </w:rPr>
        <w:t>811 05 Bratislava </w:t>
      </w:r>
    </w:p>
    <w:p w14:paraId="2653FE34" w14:textId="0A7E04BE" w:rsidR="00B27685" w:rsidRPr="00F510FE" w:rsidRDefault="00E54ACB" w:rsidP="00F510FE">
      <w:pPr>
        <w:spacing w:before="80" w:line="276" w:lineRule="auto"/>
        <w:ind w:left="567"/>
        <w:contextualSpacing/>
        <w:jc w:val="both"/>
        <w:rPr>
          <w:sz w:val="22"/>
          <w:szCs w:val="22"/>
        </w:rPr>
      </w:pPr>
      <w:r w:rsidRPr="00F510FE">
        <w:rPr>
          <w:sz w:val="22"/>
          <w:szCs w:val="22"/>
        </w:rPr>
        <w:t xml:space="preserve">Slovenská republika </w:t>
      </w:r>
    </w:p>
    <w:p w14:paraId="1B6DDCA8" w14:textId="77777777" w:rsidR="00E54ACB" w:rsidRPr="00F510FE" w:rsidRDefault="00E54ACB" w:rsidP="00F510FE">
      <w:pPr>
        <w:spacing w:before="80" w:line="276" w:lineRule="auto"/>
        <w:ind w:left="567"/>
        <w:contextualSpacing/>
        <w:jc w:val="both"/>
        <w:rPr>
          <w:sz w:val="22"/>
          <w:szCs w:val="22"/>
        </w:rPr>
      </w:pPr>
      <w:r w:rsidRPr="00F510FE">
        <w:rPr>
          <w:sz w:val="22"/>
          <w:szCs w:val="22"/>
        </w:rPr>
        <w:t>Poštová adresa:</w:t>
      </w:r>
    </w:p>
    <w:p w14:paraId="60B6D067" w14:textId="77777777" w:rsidR="00B27685" w:rsidRPr="00F510FE" w:rsidRDefault="00B27685" w:rsidP="00F510FE">
      <w:pPr>
        <w:spacing w:before="80" w:line="276" w:lineRule="auto"/>
        <w:ind w:left="567"/>
        <w:contextualSpacing/>
        <w:jc w:val="both"/>
        <w:rPr>
          <w:sz w:val="22"/>
          <w:szCs w:val="22"/>
        </w:rPr>
      </w:pPr>
      <w:r w:rsidRPr="00F510FE">
        <w:rPr>
          <w:sz w:val="22"/>
          <w:szCs w:val="22"/>
        </w:rPr>
        <w:t xml:space="preserve">Račianska 153/A </w:t>
      </w:r>
    </w:p>
    <w:p w14:paraId="6065E22C" w14:textId="77777777" w:rsidR="00B27685" w:rsidRPr="00F510FE" w:rsidRDefault="00B27685" w:rsidP="00F510FE">
      <w:pPr>
        <w:spacing w:before="80" w:line="276" w:lineRule="auto"/>
        <w:ind w:left="567"/>
        <w:contextualSpacing/>
        <w:jc w:val="both"/>
        <w:rPr>
          <w:sz w:val="22"/>
          <w:szCs w:val="22"/>
        </w:rPr>
      </w:pPr>
      <w:r w:rsidRPr="00F510FE">
        <w:rPr>
          <w:sz w:val="22"/>
          <w:szCs w:val="22"/>
        </w:rPr>
        <w:t>P.O.BOX 1</w:t>
      </w:r>
    </w:p>
    <w:p w14:paraId="3FA29B42" w14:textId="530AC5AB" w:rsidR="00B27685" w:rsidRPr="00F510FE" w:rsidRDefault="00B27685" w:rsidP="00F510FE">
      <w:pPr>
        <w:spacing w:before="80" w:line="276" w:lineRule="auto"/>
        <w:ind w:left="567"/>
        <w:contextualSpacing/>
        <w:jc w:val="both"/>
        <w:rPr>
          <w:sz w:val="22"/>
          <w:szCs w:val="22"/>
        </w:rPr>
      </w:pPr>
      <w:r w:rsidRPr="00F510FE">
        <w:rPr>
          <w:sz w:val="22"/>
          <w:szCs w:val="22"/>
        </w:rPr>
        <w:t xml:space="preserve">830 03 </w:t>
      </w:r>
      <w:r w:rsidR="0064054F" w:rsidRPr="00F510FE">
        <w:rPr>
          <w:sz w:val="22"/>
          <w:szCs w:val="22"/>
        </w:rPr>
        <w:t xml:space="preserve"> </w:t>
      </w:r>
      <w:r w:rsidRPr="00F510FE">
        <w:rPr>
          <w:sz w:val="22"/>
          <w:szCs w:val="22"/>
        </w:rPr>
        <w:t>Bratislava 33</w:t>
      </w:r>
    </w:p>
    <w:p w14:paraId="5C2B14AF" w14:textId="77777777" w:rsidR="00B27685" w:rsidRPr="00F510FE" w:rsidRDefault="00B27685" w:rsidP="00F510FE">
      <w:pPr>
        <w:spacing w:before="80" w:line="276" w:lineRule="auto"/>
        <w:ind w:left="567"/>
        <w:contextualSpacing/>
        <w:jc w:val="both"/>
        <w:rPr>
          <w:sz w:val="22"/>
          <w:szCs w:val="22"/>
        </w:rPr>
      </w:pPr>
      <w:r w:rsidRPr="00F510FE">
        <w:rPr>
          <w:sz w:val="22"/>
          <w:szCs w:val="22"/>
        </w:rPr>
        <w:t>Slovenská republika</w:t>
      </w:r>
    </w:p>
    <w:p w14:paraId="5BE8587D" w14:textId="77777777" w:rsidR="00E54ACB" w:rsidRPr="00F510FE" w:rsidRDefault="00E54ACB" w:rsidP="00094181">
      <w:pPr>
        <w:spacing w:before="120" w:line="276" w:lineRule="auto"/>
        <w:ind w:left="567" w:hanging="210"/>
        <w:jc w:val="both"/>
        <w:rPr>
          <w:b/>
          <w:bCs/>
          <w:sz w:val="22"/>
          <w:szCs w:val="22"/>
        </w:rPr>
      </w:pPr>
      <w:r w:rsidRPr="00F510FE">
        <w:rPr>
          <w:b/>
          <w:bCs/>
          <w:sz w:val="22"/>
          <w:szCs w:val="22"/>
        </w:rPr>
        <w:t>4.</w:t>
      </w:r>
      <w:r w:rsidRPr="00F510FE">
        <w:rPr>
          <w:b/>
          <w:bCs/>
          <w:sz w:val="22"/>
          <w:szCs w:val="22"/>
        </w:rPr>
        <w:tab/>
        <w:t>Meno, priezvisko, adresa, telefónne číslo a iné kontaktné údaje oprávneného zástupcu obstarávateľa</w:t>
      </w:r>
    </w:p>
    <w:p w14:paraId="043FF1D1" w14:textId="6FEA132D" w:rsidR="007E0EFD" w:rsidRPr="00F510FE" w:rsidRDefault="00591479" w:rsidP="00F510FE">
      <w:pPr>
        <w:spacing w:before="120" w:line="276" w:lineRule="auto"/>
        <w:ind w:left="567"/>
        <w:jc w:val="both"/>
        <w:rPr>
          <w:sz w:val="22"/>
          <w:szCs w:val="22"/>
        </w:rPr>
      </w:pPr>
      <w:r>
        <w:rPr>
          <w:sz w:val="22"/>
          <w:szCs w:val="22"/>
        </w:rPr>
        <w:t>Ing. Albert Németh</w:t>
      </w:r>
    </w:p>
    <w:p w14:paraId="242C939A" w14:textId="4D1C70D4" w:rsidR="007E0EFD" w:rsidRPr="00F510FE" w:rsidRDefault="007E0EFD" w:rsidP="00F510FE">
      <w:pPr>
        <w:spacing w:before="80" w:line="276" w:lineRule="auto"/>
        <w:ind w:left="567"/>
        <w:contextualSpacing/>
        <w:jc w:val="both"/>
        <w:rPr>
          <w:sz w:val="22"/>
          <w:szCs w:val="22"/>
        </w:rPr>
      </w:pPr>
      <w:r w:rsidRPr="00F510FE">
        <w:rPr>
          <w:sz w:val="22"/>
          <w:szCs w:val="22"/>
        </w:rPr>
        <w:t>generálny ria</w:t>
      </w:r>
      <w:r w:rsidR="00D74F80" w:rsidRPr="00F510FE">
        <w:rPr>
          <w:sz w:val="22"/>
          <w:szCs w:val="22"/>
        </w:rPr>
        <w:t xml:space="preserve">diteľ </w:t>
      </w:r>
      <w:r w:rsidRPr="00F510FE">
        <w:rPr>
          <w:sz w:val="22"/>
          <w:szCs w:val="22"/>
        </w:rPr>
        <w:t xml:space="preserve">sekcie </w:t>
      </w:r>
      <w:r w:rsidR="00591479">
        <w:rPr>
          <w:sz w:val="22"/>
          <w:szCs w:val="22"/>
        </w:rPr>
        <w:t>IROP</w:t>
      </w:r>
    </w:p>
    <w:p w14:paraId="45EBF1D1" w14:textId="77777777" w:rsidR="00591479" w:rsidRPr="00F510FE" w:rsidRDefault="00591479" w:rsidP="00591479">
      <w:pPr>
        <w:spacing w:line="276" w:lineRule="auto"/>
        <w:ind w:left="567"/>
        <w:jc w:val="both"/>
        <w:rPr>
          <w:sz w:val="22"/>
          <w:szCs w:val="22"/>
        </w:rPr>
      </w:pPr>
      <w:r w:rsidRPr="00F510FE">
        <w:rPr>
          <w:sz w:val="22"/>
          <w:szCs w:val="22"/>
        </w:rPr>
        <w:t xml:space="preserve">Ministerstvo </w:t>
      </w:r>
      <w:r>
        <w:rPr>
          <w:sz w:val="22"/>
          <w:szCs w:val="22"/>
        </w:rPr>
        <w:t>investícií, regionálneho rozvoja a informatizácie</w:t>
      </w:r>
      <w:r w:rsidRPr="00F510FE">
        <w:rPr>
          <w:sz w:val="22"/>
          <w:szCs w:val="22"/>
        </w:rPr>
        <w:t xml:space="preserve"> SR</w:t>
      </w:r>
    </w:p>
    <w:p w14:paraId="472928FF" w14:textId="77777777" w:rsidR="007E0EFD" w:rsidRPr="00F510FE" w:rsidRDefault="007E0EFD" w:rsidP="00F510FE">
      <w:pPr>
        <w:spacing w:before="80" w:line="276" w:lineRule="auto"/>
        <w:ind w:left="567"/>
        <w:contextualSpacing/>
        <w:jc w:val="both"/>
        <w:rPr>
          <w:sz w:val="22"/>
          <w:szCs w:val="22"/>
        </w:rPr>
      </w:pPr>
      <w:r w:rsidRPr="00F510FE">
        <w:rPr>
          <w:sz w:val="22"/>
          <w:szCs w:val="22"/>
        </w:rPr>
        <w:t xml:space="preserve">Račianska 153/A </w:t>
      </w:r>
    </w:p>
    <w:p w14:paraId="111692DC" w14:textId="77777777" w:rsidR="007E0EFD" w:rsidRPr="00F510FE" w:rsidRDefault="007E0EFD" w:rsidP="00F510FE">
      <w:pPr>
        <w:spacing w:before="80" w:line="276" w:lineRule="auto"/>
        <w:ind w:left="567"/>
        <w:contextualSpacing/>
        <w:jc w:val="both"/>
        <w:rPr>
          <w:sz w:val="22"/>
          <w:szCs w:val="22"/>
        </w:rPr>
      </w:pPr>
      <w:r w:rsidRPr="00F510FE">
        <w:rPr>
          <w:sz w:val="22"/>
          <w:szCs w:val="22"/>
        </w:rPr>
        <w:t>P.O.BOX 1</w:t>
      </w:r>
    </w:p>
    <w:p w14:paraId="2A0CBBB1" w14:textId="4EDC5E7D" w:rsidR="007E0EFD" w:rsidRPr="00F510FE" w:rsidRDefault="007E0EFD" w:rsidP="00F510FE">
      <w:pPr>
        <w:spacing w:before="80" w:line="276" w:lineRule="auto"/>
        <w:ind w:left="567"/>
        <w:contextualSpacing/>
        <w:jc w:val="both"/>
        <w:rPr>
          <w:sz w:val="22"/>
          <w:szCs w:val="22"/>
        </w:rPr>
      </w:pPr>
      <w:r w:rsidRPr="00F510FE">
        <w:rPr>
          <w:sz w:val="22"/>
          <w:szCs w:val="22"/>
        </w:rPr>
        <w:t xml:space="preserve">830 03 </w:t>
      </w:r>
      <w:r w:rsidR="0064054F" w:rsidRPr="00F510FE">
        <w:rPr>
          <w:sz w:val="22"/>
          <w:szCs w:val="22"/>
        </w:rPr>
        <w:t xml:space="preserve"> </w:t>
      </w:r>
      <w:r w:rsidRPr="00F510FE">
        <w:rPr>
          <w:sz w:val="22"/>
          <w:szCs w:val="22"/>
        </w:rPr>
        <w:t>Bratislava 33</w:t>
      </w:r>
    </w:p>
    <w:p w14:paraId="458950DD" w14:textId="07E1B855" w:rsidR="007E0EFD" w:rsidRPr="00F510FE" w:rsidRDefault="00724642" w:rsidP="00F510FE">
      <w:pPr>
        <w:spacing w:before="80" w:line="276" w:lineRule="auto"/>
        <w:ind w:left="567"/>
        <w:contextualSpacing/>
        <w:jc w:val="both"/>
        <w:rPr>
          <w:sz w:val="22"/>
          <w:szCs w:val="22"/>
        </w:rPr>
      </w:pPr>
      <w:r w:rsidRPr="00F510FE">
        <w:rPr>
          <w:sz w:val="22"/>
          <w:szCs w:val="22"/>
        </w:rPr>
        <w:t>Tel</w:t>
      </w:r>
      <w:r w:rsidR="007E0EFD" w:rsidRPr="00F510FE">
        <w:rPr>
          <w:sz w:val="22"/>
          <w:szCs w:val="22"/>
        </w:rPr>
        <w:t xml:space="preserve">: +421 </w:t>
      </w:r>
      <w:r w:rsidR="00591479">
        <w:rPr>
          <w:sz w:val="22"/>
          <w:szCs w:val="22"/>
        </w:rPr>
        <w:t>2 2092</w:t>
      </w:r>
      <w:r w:rsidR="007E0EFD" w:rsidRPr="00F510FE">
        <w:rPr>
          <w:sz w:val="22"/>
          <w:szCs w:val="22"/>
        </w:rPr>
        <w:t xml:space="preserve"> </w:t>
      </w:r>
      <w:r w:rsidR="00591479">
        <w:rPr>
          <w:sz w:val="22"/>
          <w:szCs w:val="22"/>
        </w:rPr>
        <w:t>8602</w:t>
      </w:r>
    </w:p>
    <w:p w14:paraId="3FF006C7" w14:textId="0B03B0B7" w:rsidR="007E0EFD" w:rsidRPr="00F510FE" w:rsidRDefault="007E0EFD" w:rsidP="00F510FE">
      <w:pPr>
        <w:spacing w:before="80" w:line="276" w:lineRule="auto"/>
        <w:ind w:left="567"/>
        <w:contextualSpacing/>
        <w:jc w:val="both"/>
        <w:rPr>
          <w:sz w:val="22"/>
          <w:szCs w:val="22"/>
          <w:lang w:val="en-US"/>
        </w:rPr>
      </w:pPr>
      <w:r w:rsidRPr="00F510FE">
        <w:rPr>
          <w:sz w:val="22"/>
          <w:szCs w:val="22"/>
        </w:rPr>
        <w:t xml:space="preserve">e-mail: </w:t>
      </w:r>
      <w:hyperlink r:id="rId11" w:history="1">
        <w:r w:rsidR="00591479" w:rsidRPr="005C2509">
          <w:rPr>
            <w:rStyle w:val="Hypertextovprepojenie"/>
            <w:sz w:val="22"/>
            <w:szCs w:val="22"/>
          </w:rPr>
          <w:t>albert.nemeth@mirri.gov.sk</w:t>
        </w:r>
      </w:hyperlink>
      <w:r w:rsidRPr="00F510FE">
        <w:rPr>
          <w:sz w:val="22"/>
          <w:szCs w:val="22"/>
          <w:lang w:val="en-US"/>
        </w:rPr>
        <w:t xml:space="preserve"> </w:t>
      </w:r>
    </w:p>
    <w:p w14:paraId="2E371BF8" w14:textId="3A85C8D4" w:rsidR="00E54ACB" w:rsidRPr="00F510FE" w:rsidRDefault="0082329E" w:rsidP="00094181">
      <w:pPr>
        <w:spacing w:before="120" w:line="276" w:lineRule="auto"/>
        <w:ind w:left="567" w:hanging="210"/>
        <w:jc w:val="both"/>
        <w:rPr>
          <w:b/>
          <w:bCs/>
          <w:sz w:val="22"/>
          <w:szCs w:val="22"/>
        </w:rPr>
      </w:pPr>
      <w:r w:rsidRPr="00F510FE">
        <w:rPr>
          <w:b/>
          <w:bCs/>
          <w:sz w:val="22"/>
          <w:szCs w:val="22"/>
        </w:rPr>
        <w:t>5.</w:t>
      </w:r>
      <w:r w:rsidRPr="00F510FE">
        <w:rPr>
          <w:b/>
          <w:bCs/>
          <w:sz w:val="22"/>
          <w:szCs w:val="22"/>
        </w:rPr>
        <w:tab/>
      </w:r>
      <w:r w:rsidR="00E54ACB" w:rsidRPr="00F510FE">
        <w:rPr>
          <w:b/>
          <w:bCs/>
          <w:sz w:val="22"/>
          <w:szCs w:val="22"/>
        </w:rPr>
        <w:t>Meno, priezvisko, adresa, telefónne číslo a iné konta</w:t>
      </w:r>
      <w:r w:rsidR="00724642" w:rsidRPr="00F510FE">
        <w:rPr>
          <w:b/>
          <w:bCs/>
          <w:sz w:val="22"/>
          <w:szCs w:val="22"/>
        </w:rPr>
        <w:t>ktné údaje kontaktnej osoby, od </w:t>
      </w:r>
      <w:r w:rsidR="00E54ACB" w:rsidRPr="00F510FE">
        <w:rPr>
          <w:b/>
          <w:bCs/>
          <w:sz w:val="22"/>
          <w:szCs w:val="22"/>
        </w:rPr>
        <w:t>ktorej možno dostať relevantné informácie o strategickom dokumente</w:t>
      </w:r>
      <w:r w:rsidR="00724642" w:rsidRPr="00F510FE">
        <w:rPr>
          <w:b/>
          <w:bCs/>
          <w:sz w:val="22"/>
          <w:szCs w:val="22"/>
        </w:rPr>
        <w:t xml:space="preserve"> a miesto na </w:t>
      </w:r>
      <w:r w:rsidR="00E54ACB" w:rsidRPr="00F510FE">
        <w:rPr>
          <w:b/>
          <w:bCs/>
          <w:sz w:val="22"/>
          <w:szCs w:val="22"/>
        </w:rPr>
        <w:t>konzultácie</w:t>
      </w:r>
    </w:p>
    <w:p w14:paraId="03438C0E" w14:textId="635662BF" w:rsidR="00E54ACB" w:rsidRPr="00F510FE" w:rsidRDefault="005B1859" w:rsidP="00F510FE">
      <w:pPr>
        <w:spacing w:before="120" w:line="276" w:lineRule="auto"/>
        <w:ind w:left="567"/>
        <w:jc w:val="both"/>
        <w:rPr>
          <w:sz w:val="22"/>
          <w:szCs w:val="22"/>
        </w:rPr>
      </w:pPr>
      <w:r w:rsidRPr="00F510FE">
        <w:rPr>
          <w:sz w:val="22"/>
          <w:szCs w:val="22"/>
        </w:rPr>
        <w:t>Ing.</w:t>
      </w:r>
      <w:r w:rsidR="00D62FF7" w:rsidRPr="00F510FE">
        <w:rPr>
          <w:sz w:val="22"/>
          <w:szCs w:val="22"/>
        </w:rPr>
        <w:t xml:space="preserve"> </w:t>
      </w:r>
      <w:r w:rsidR="00D073D5">
        <w:rPr>
          <w:sz w:val="22"/>
          <w:szCs w:val="22"/>
        </w:rPr>
        <w:t>Elena Chrenková Kušnírová</w:t>
      </w:r>
    </w:p>
    <w:p w14:paraId="64CFAEB7" w14:textId="5081B087" w:rsidR="00963D06" w:rsidRPr="00F510FE" w:rsidRDefault="00D073D5" w:rsidP="00F510FE">
      <w:pPr>
        <w:tabs>
          <w:tab w:val="left" w:pos="851"/>
        </w:tabs>
        <w:spacing w:before="80" w:line="276" w:lineRule="auto"/>
        <w:ind w:left="567"/>
        <w:contextualSpacing/>
        <w:jc w:val="both"/>
        <w:rPr>
          <w:sz w:val="22"/>
          <w:szCs w:val="22"/>
        </w:rPr>
      </w:pPr>
      <w:r>
        <w:rPr>
          <w:sz w:val="22"/>
          <w:szCs w:val="22"/>
        </w:rPr>
        <w:t>vedúca oddelenia</w:t>
      </w:r>
      <w:r w:rsidR="00963D06" w:rsidRPr="00F510FE">
        <w:rPr>
          <w:sz w:val="22"/>
          <w:szCs w:val="22"/>
        </w:rPr>
        <w:t xml:space="preserve"> programovania</w:t>
      </w:r>
      <w:r w:rsidR="00724642" w:rsidRPr="00F510FE">
        <w:rPr>
          <w:sz w:val="22"/>
          <w:szCs w:val="22"/>
        </w:rPr>
        <w:t xml:space="preserve">, </w:t>
      </w:r>
      <w:r w:rsidR="00963D06" w:rsidRPr="00F510FE">
        <w:rPr>
          <w:sz w:val="22"/>
          <w:szCs w:val="22"/>
        </w:rPr>
        <w:t xml:space="preserve">odbor </w:t>
      </w:r>
      <w:r w:rsidR="00591479">
        <w:rPr>
          <w:sz w:val="22"/>
          <w:szCs w:val="22"/>
        </w:rPr>
        <w:t>programovania a metodiky</w:t>
      </w:r>
    </w:p>
    <w:p w14:paraId="63F7C45E" w14:textId="77777777" w:rsidR="00591479" w:rsidRPr="00F510FE" w:rsidRDefault="00591479" w:rsidP="00591479">
      <w:pPr>
        <w:spacing w:line="276" w:lineRule="auto"/>
        <w:ind w:left="567"/>
        <w:jc w:val="both"/>
        <w:rPr>
          <w:sz w:val="22"/>
          <w:szCs w:val="22"/>
        </w:rPr>
      </w:pPr>
      <w:r w:rsidRPr="00F510FE">
        <w:rPr>
          <w:sz w:val="22"/>
          <w:szCs w:val="22"/>
        </w:rPr>
        <w:t xml:space="preserve">Ministerstvo </w:t>
      </w:r>
      <w:r>
        <w:rPr>
          <w:sz w:val="22"/>
          <w:szCs w:val="22"/>
        </w:rPr>
        <w:t>investícií, regionálneho rozvoja a informatizácie</w:t>
      </w:r>
      <w:r w:rsidRPr="00F510FE">
        <w:rPr>
          <w:sz w:val="22"/>
          <w:szCs w:val="22"/>
        </w:rPr>
        <w:t xml:space="preserve"> SR</w:t>
      </w:r>
    </w:p>
    <w:p w14:paraId="1AA97DCA" w14:textId="77777777" w:rsidR="009E7D6E" w:rsidRPr="00F510FE" w:rsidRDefault="002258C1" w:rsidP="00F510FE">
      <w:pPr>
        <w:tabs>
          <w:tab w:val="left" w:pos="851"/>
        </w:tabs>
        <w:spacing w:before="80" w:line="276" w:lineRule="auto"/>
        <w:ind w:left="567"/>
        <w:contextualSpacing/>
        <w:jc w:val="both"/>
        <w:rPr>
          <w:sz w:val="22"/>
          <w:szCs w:val="22"/>
        </w:rPr>
      </w:pPr>
      <w:r w:rsidRPr="00F510FE">
        <w:rPr>
          <w:sz w:val="22"/>
          <w:szCs w:val="22"/>
        </w:rPr>
        <w:t>Račianska 153/A</w:t>
      </w:r>
      <w:r w:rsidR="009E7D6E" w:rsidRPr="00F510FE">
        <w:rPr>
          <w:sz w:val="22"/>
          <w:szCs w:val="22"/>
        </w:rPr>
        <w:t xml:space="preserve"> </w:t>
      </w:r>
    </w:p>
    <w:p w14:paraId="734B7364" w14:textId="77777777" w:rsidR="009E7D6E" w:rsidRPr="00F510FE" w:rsidRDefault="009E7D6E" w:rsidP="00F510FE">
      <w:pPr>
        <w:tabs>
          <w:tab w:val="left" w:pos="851"/>
        </w:tabs>
        <w:spacing w:before="80" w:line="276" w:lineRule="auto"/>
        <w:ind w:left="567"/>
        <w:contextualSpacing/>
        <w:jc w:val="both"/>
        <w:rPr>
          <w:sz w:val="22"/>
          <w:szCs w:val="22"/>
        </w:rPr>
      </w:pPr>
      <w:r w:rsidRPr="00F510FE">
        <w:rPr>
          <w:sz w:val="22"/>
          <w:szCs w:val="22"/>
        </w:rPr>
        <w:t>P.O.BOX 1</w:t>
      </w:r>
    </w:p>
    <w:p w14:paraId="3096A855" w14:textId="5F4E032A" w:rsidR="009E7D6E" w:rsidRPr="00F510FE" w:rsidRDefault="009E7D6E" w:rsidP="00F510FE">
      <w:pPr>
        <w:tabs>
          <w:tab w:val="left" w:pos="851"/>
        </w:tabs>
        <w:spacing w:before="80" w:line="276" w:lineRule="auto"/>
        <w:ind w:left="567"/>
        <w:contextualSpacing/>
        <w:jc w:val="both"/>
        <w:rPr>
          <w:sz w:val="22"/>
          <w:szCs w:val="22"/>
        </w:rPr>
      </w:pPr>
      <w:r w:rsidRPr="00F510FE">
        <w:rPr>
          <w:sz w:val="22"/>
          <w:szCs w:val="22"/>
        </w:rPr>
        <w:t xml:space="preserve">830 03 </w:t>
      </w:r>
      <w:r w:rsidR="0064054F" w:rsidRPr="00F510FE">
        <w:rPr>
          <w:sz w:val="22"/>
          <w:szCs w:val="22"/>
        </w:rPr>
        <w:t xml:space="preserve"> </w:t>
      </w:r>
      <w:r w:rsidRPr="00F510FE">
        <w:rPr>
          <w:sz w:val="22"/>
          <w:szCs w:val="22"/>
        </w:rPr>
        <w:t>Bratislava 33</w:t>
      </w:r>
    </w:p>
    <w:p w14:paraId="1EC49907" w14:textId="3D055601" w:rsidR="009E7D6E" w:rsidRPr="00F510FE" w:rsidRDefault="00724642" w:rsidP="00F510FE">
      <w:pPr>
        <w:tabs>
          <w:tab w:val="left" w:pos="851"/>
        </w:tabs>
        <w:spacing w:before="80" w:line="276" w:lineRule="auto"/>
        <w:ind w:left="567"/>
        <w:contextualSpacing/>
        <w:jc w:val="both"/>
        <w:rPr>
          <w:sz w:val="22"/>
          <w:szCs w:val="22"/>
        </w:rPr>
      </w:pPr>
      <w:r w:rsidRPr="00F510FE">
        <w:rPr>
          <w:sz w:val="22"/>
          <w:szCs w:val="22"/>
        </w:rPr>
        <w:t>T</w:t>
      </w:r>
      <w:r w:rsidR="009E7D6E" w:rsidRPr="00F510FE">
        <w:rPr>
          <w:sz w:val="22"/>
          <w:szCs w:val="22"/>
        </w:rPr>
        <w:t>el</w:t>
      </w:r>
      <w:r w:rsidRPr="00F510FE">
        <w:rPr>
          <w:sz w:val="22"/>
          <w:szCs w:val="22"/>
        </w:rPr>
        <w:t>.</w:t>
      </w:r>
      <w:r w:rsidR="009E7D6E" w:rsidRPr="00F510FE">
        <w:rPr>
          <w:sz w:val="22"/>
          <w:szCs w:val="22"/>
        </w:rPr>
        <w:t xml:space="preserve">: +421 2 </w:t>
      </w:r>
      <w:r w:rsidR="00591479">
        <w:rPr>
          <w:sz w:val="22"/>
          <w:szCs w:val="22"/>
        </w:rPr>
        <w:t>2092</w:t>
      </w:r>
      <w:r w:rsidR="009E7D6E" w:rsidRPr="00F510FE">
        <w:rPr>
          <w:sz w:val="22"/>
          <w:szCs w:val="22"/>
        </w:rPr>
        <w:t xml:space="preserve"> </w:t>
      </w:r>
      <w:r w:rsidR="00591479">
        <w:rPr>
          <w:sz w:val="22"/>
          <w:szCs w:val="22"/>
        </w:rPr>
        <w:t>86</w:t>
      </w:r>
      <w:r w:rsidR="00D073D5">
        <w:rPr>
          <w:sz w:val="22"/>
          <w:szCs w:val="22"/>
        </w:rPr>
        <w:t>06</w:t>
      </w:r>
    </w:p>
    <w:p w14:paraId="772F5457" w14:textId="5DBDEF89" w:rsidR="009E7D6E" w:rsidRPr="00F510FE" w:rsidRDefault="009E7D6E" w:rsidP="00F510FE">
      <w:pPr>
        <w:spacing w:before="80" w:line="276" w:lineRule="auto"/>
        <w:ind w:left="567"/>
        <w:contextualSpacing/>
        <w:jc w:val="both"/>
        <w:rPr>
          <w:sz w:val="22"/>
          <w:szCs w:val="22"/>
          <w:lang w:val="en-US"/>
        </w:rPr>
      </w:pPr>
      <w:r w:rsidRPr="00F510FE">
        <w:rPr>
          <w:sz w:val="22"/>
          <w:szCs w:val="22"/>
        </w:rPr>
        <w:t xml:space="preserve">e-mail: </w:t>
      </w:r>
      <w:hyperlink r:id="rId12" w:history="1">
        <w:r w:rsidR="00D073D5" w:rsidRPr="006B2C9C">
          <w:rPr>
            <w:rStyle w:val="Hypertextovprepojenie"/>
          </w:rPr>
          <w:t>elena.chrenkova.kusnirova</w:t>
        </w:r>
        <w:r w:rsidR="00D073D5" w:rsidRPr="006B2C9C">
          <w:rPr>
            <w:rStyle w:val="Hypertextovprepojenie"/>
            <w:sz w:val="22"/>
            <w:szCs w:val="22"/>
          </w:rPr>
          <w:t>@mirri.gov.sk</w:t>
        </w:r>
      </w:hyperlink>
      <w:r w:rsidRPr="00F510FE">
        <w:rPr>
          <w:sz w:val="22"/>
          <w:szCs w:val="22"/>
          <w:lang w:val="en-US"/>
        </w:rPr>
        <w:t xml:space="preserve"> </w:t>
      </w:r>
    </w:p>
    <w:p w14:paraId="030445DD" w14:textId="14BC3C94" w:rsidR="008F3949" w:rsidRPr="00F510FE" w:rsidRDefault="00724642" w:rsidP="00094181">
      <w:pPr>
        <w:spacing w:before="120" w:line="276" w:lineRule="auto"/>
        <w:ind w:left="567" w:hanging="210"/>
        <w:jc w:val="both"/>
        <w:rPr>
          <w:b/>
          <w:bCs/>
          <w:sz w:val="22"/>
          <w:szCs w:val="22"/>
        </w:rPr>
      </w:pPr>
      <w:r w:rsidRPr="00F510FE">
        <w:rPr>
          <w:b/>
          <w:bCs/>
          <w:sz w:val="22"/>
          <w:szCs w:val="22"/>
        </w:rPr>
        <w:t>6</w:t>
      </w:r>
      <w:r w:rsidR="0082329E" w:rsidRPr="00F510FE">
        <w:rPr>
          <w:b/>
          <w:bCs/>
          <w:sz w:val="22"/>
          <w:szCs w:val="22"/>
        </w:rPr>
        <w:t>.</w:t>
      </w:r>
      <w:r w:rsidR="0082329E" w:rsidRPr="00F510FE">
        <w:rPr>
          <w:b/>
          <w:bCs/>
          <w:sz w:val="22"/>
          <w:szCs w:val="22"/>
        </w:rPr>
        <w:tab/>
      </w:r>
      <w:r w:rsidR="008F3949" w:rsidRPr="00F510FE">
        <w:rPr>
          <w:b/>
          <w:bCs/>
          <w:sz w:val="22"/>
          <w:szCs w:val="22"/>
        </w:rPr>
        <w:t>Miesto a čas konzultácie</w:t>
      </w:r>
    </w:p>
    <w:p w14:paraId="46EF7239" w14:textId="5CC88C88" w:rsidR="009E7D6E" w:rsidRPr="00F510FE" w:rsidRDefault="00591479" w:rsidP="00591479">
      <w:pPr>
        <w:spacing w:line="276" w:lineRule="auto"/>
        <w:ind w:left="567"/>
        <w:jc w:val="both"/>
        <w:rPr>
          <w:sz w:val="22"/>
          <w:szCs w:val="22"/>
        </w:rPr>
      </w:pPr>
      <w:r w:rsidRPr="00F510FE">
        <w:rPr>
          <w:sz w:val="22"/>
          <w:szCs w:val="22"/>
        </w:rPr>
        <w:t xml:space="preserve">Ministerstvo </w:t>
      </w:r>
      <w:r>
        <w:rPr>
          <w:sz w:val="22"/>
          <w:szCs w:val="22"/>
        </w:rPr>
        <w:t>investícií, regionálneho rozvoja a informatizácie SR</w:t>
      </w:r>
      <w:r w:rsidR="009E7D6E" w:rsidRPr="00F510FE">
        <w:rPr>
          <w:sz w:val="22"/>
          <w:szCs w:val="22"/>
        </w:rPr>
        <w:t>, Račianska 153/A, Bratislava</w:t>
      </w:r>
    </w:p>
    <w:p w14:paraId="25C44437" w14:textId="03F6A54B" w:rsidR="009E7D6E" w:rsidRPr="00F510FE" w:rsidRDefault="009E7D6E" w:rsidP="00F510FE">
      <w:pPr>
        <w:spacing w:before="80" w:line="276" w:lineRule="auto"/>
        <w:ind w:left="567"/>
        <w:jc w:val="both"/>
        <w:rPr>
          <w:sz w:val="22"/>
          <w:szCs w:val="22"/>
        </w:rPr>
      </w:pPr>
      <w:r w:rsidRPr="00F510FE">
        <w:rPr>
          <w:sz w:val="22"/>
          <w:szCs w:val="22"/>
        </w:rPr>
        <w:t>Konzultovať vo veci zmeny posudzovaného strategického dokumentu s celoštátnym dosahom podľa § 63 ods. 1 zákona č. 24/2006 Z. z. o posudzovaní vplyvov na životné prostredie a o zmene a doplnení niektorých zákonov v znení neskorších p</w:t>
      </w:r>
      <w:r w:rsidR="00724642" w:rsidRPr="00F510FE">
        <w:rPr>
          <w:sz w:val="22"/>
          <w:szCs w:val="22"/>
        </w:rPr>
        <w:t>redpisov (ďalej len „zákon</w:t>
      </w:r>
      <w:r w:rsidR="00057B91">
        <w:rPr>
          <w:sz w:val="22"/>
          <w:szCs w:val="22"/>
        </w:rPr>
        <w:t xml:space="preserve"> o EIA</w:t>
      </w:r>
      <w:r w:rsidR="00724642" w:rsidRPr="00F510FE">
        <w:rPr>
          <w:sz w:val="22"/>
          <w:szCs w:val="22"/>
        </w:rPr>
        <w:t>“) je </w:t>
      </w:r>
      <w:r w:rsidRPr="00F510FE">
        <w:rPr>
          <w:sz w:val="22"/>
          <w:szCs w:val="22"/>
        </w:rPr>
        <w:t xml:space="preserve">možné počas celého procesu posudzovania strategického dokumentu. </w:t>
      </w:r>
    </w:p>
    <w:p w14:paraId="59067191" w14:textId="4C640688" w:rsidR="009E7D6E" w:rsidRPr="00F510FE" w:rsidRDefault="009E7D6E" w:rsidP="00F510FE">
      <w:pPr>
        <w:tabs>
          <w:tab w:val="left" w:pos="709"/>
          <w:tab w:val="left" w:pos="851"/>
        </w:tabs>
        <w:spacing w:before="80" w:line="276" w:lineRule="auto"/>
        <w:ind w:left="567"/>
        <w:jc w:val="both"/>
        <w:rPr>
          <w:sz w:val="22"/>
          <w:szCs w:val="22"/>
        </w:rPr>
      </w:pPr>
      <w:r w:rsidRPr="00F510FE">
        <w:rPr>
          <w:sz w:val="22"/>
          <w:szCs w:val="22"/>
        </w:rPr>
        <w:t>Čas konzultácií sa určí „prípad po prípade“ prostredníctvom kontaktnej osoby</w:t>
      </w:r>
      <w:r w:rsidR="00D1730B" w:rsidRPr="00F510FE">
        <w:rPr>
          <w:sz w:val="22"/>
          <w:szCs w:val="22"/>
        </w:rPr>
        <w:t xml:space="preserve"> </w:t>
      </w:r>
      <w:r w:rsidRPr="00F510FE">
        <w:rPr>
          <w:sz w:val="22"/>
          <w:szCs w:val="22"/>
        </w:rPr>
        <w:t xml:space="preserve">a podľa požiadavky a dohody subjektov, ktoré prejavia o konzultácie záujem. </w:t>
      </w:r>
    </w:p>
    <w:p w14:paraId="5A9AB8EF" w14:textId="7CB5825C" w:rsidR="004F695E" w:rsidRPr="00F510FE" w:rsidRDefault="004F695E" w:rsidP="00F510FE">
      <w:pPr>
        <w:widowControl/>
        <w:autoSpaceDE/>
        <w:autoSpaceDN/>
        <w:adjustRightInd/>
        <w:spacing w:after="200" w:line="276" w:lineRule="auto"/>
        <w:rPr>
          <w:sz w:val="22"/>
          <w:szCs w:val="22"/>
        </w:rPr>
      </w:pPr>
      <w:r w:rsidRPr="00F510FE">
        <w:rPr>
          <w:sz w:val="22"/>
          <w:szCs w:val="22"/>
        </w:rPr>
        <w:br w:type="page"/>
      </w:r>
    </w:p>
    <w:p w14:paraId="1345E709" w14:textId="77777777" w:rsidR="00E54ACB" w:rsidRPr="00F510FE" w:rsidRDefault="00E54ACB" w:rsidP="00F510FE">
      <w:pPr>
        <w:spacing w:before="120" w:line="276" w:lineRule="auto"/>
        <w:ind w:left="357" w:hanging="357"/>
        <w:rPr>
          <w:b/>
          <w:bCs/>
          <w:sz w:val="22"/>
          <w:szCs w:val="22"/>
        </w:rPr>
      </w:pPr>
      <w:r w:rsidRPr="00F510FE">
        <w:rPr>
          <w:b/>
          <w:bCs/>
          <w:sz w:val="22"/>
          <w:szCs w:val="22"/>
        </w:rPr>
        <w:lastRenderedPageBreak/>
        <w:t>II.</w:t>
      </w:r>
      <w:r w:rsidRPr="00F510FE">
        <w:rPr>
          <w:b/>
          <w:bCs/>
          <w:sz w:val="22"/>
          <w:szCs w:val="22"/>
        </w:rPr>
        <w:tab/>
        <w:t>Základné údaje o strategickom dokumente</w:t>
      </w:r>
    </w:p>
    <w:p w14:paraId="1E19CDCC" w14:textId="77777777" w:rsidR="00E54ACB" w:rsidRPr="00F510FE" w:rsidRDefault="00E54ACB" w:rsidP="00F510FE">
      <w:pPr>
        <w:spacing w:before="240" w:line="276" w:lineRule="auto"/>
        <w:ind w:left="567" w:hanging="210"/>
        <w:jc w:val="both"/>
        <w:rPr>
          <w:b/>
          <w:bCs/>
          <w:sz w:val="22"/>
          <w:szCs w:val="22"/>
        </w:rPr>
      </w:pPr>
      <w:r w:rsidRPr="00F510FE">
        <w:rPr>
          <w:b/>
          <w:bCs/>
          <w:sz w:val="22"/>
          <w:szCs w:val="22"/>
        </w:rPr>
        <w:t>1.</w:t>
      </w:r>
      <w:r w:rsidRPr="00F510FE">
        <w:rPr>
          <w:b/>
          <w:bCs/>
          <w:sz w:val="22"/>
          <w:szCs w:val="22"/>
        </w:rPr>
        <w:tab/>
        <w:t>Názov</w:t>
      </w:r>
    </w:p>
    <w:p w14:paraId="5EF8DF41" w14:textId="414C2718" w:rsidR="00E54ACB" w:rsidRPr="00094181" w:rsidRDefault="007708EA" w:rsidP="00F510FE">
      <w:pPr>
        <w:tabs>
          <w:tab w:val="left" w:pos="993"/>
        </w:tabs>
        <w:spacing w:before="120" w:line="276" w:lineRule="auto"/>
        <w:ind w:left="993" w:hanging="426"/>
        <w:jc w:val="both"/>
        <w:rPr>
          <w:b/>
          <w:bCs/>
          <w:i/>
          <w:iCs/>
          <w:sz w:val="22"/>
          <w:szCs w:val="22"/>
        </w:rPr>
      </w:pPr>
      <w:r w:rsidRPr="00094181">
        <w:rPr>
          <w:b/>
          <w:bCs/>
          <w:i/>
          <w:iCs/>
          <w:sz w:val="22"/>
          <w:szCs w:val="22"/>
        </w:rPr>
        <w:t>Integrovan</w:t>
      </w:r>
      <w:r w:rsidR="00094181" w:rsidRPr="00094181">
        <w:rPr>
          <w:b/>
          <w:bCs/>
          <w:i/>
          <w:iCs/>
          <w:sz w:val="22"/>
          <w:szCs w:val="22"/>
        </w:rPr>
        <w:t>ý</w:t>
      </w:r>
      <w:r w:rsidRPr="00094181">
        <w:rPr>
          <w:b/>
          <w:bCs/>
          <w:i/>
          <w:iCs/>
          <w:sz w:val="22"/>
          <w:szCs w:val="22"/>
        </w:rPr>
        <w:t xml:space="preserve"> reg</w:t>
      </w:r>
      <w:r w:rsidR="008F3949" w:rsidRPr="00094181">
        <w:rPr>
          <w:b/>
          <w:bCs/>
          <w:i/>
          <w:iCs/>
          <w:sz w:val="22"/>
          <w:szCs w:val="22"/>
        </w:rPr>
        <w:t>ionáln</w:t>
      </w:r>
      <w:r w:rsidR="00094181" w:rsidRPr="00094181">
        <w:rPr>
          <w:b/>
          <w:bCs/>
          <w:i/>
          <w:iCs/>
          <w:sz w:val="22"/>
          <w:szCs w:val="22"/>
        </w:rPr>
        <w:t>y</w:t>
      </w:r>
      <w:r w:rsidR="008F3949" w:rsidRPr="00094181">
        <w:rPr>
          <w:b/>
          <w:bCs/>
          <w:i/>
          <w:iCs/>
          <w:sz w:val="22"/>
          <w:szCs w:val="22"/>
        </w:rPr>
        <w:t xml:space="preserve"> operačn</w:t>
      </w:r>
      <w:r w:rsidR="00094181" w:rsidRPr="00094181">
        <w:rPr>
          <w:b/>
          <w:bCs/>
          <w:i/>
          <w:iCs/>
          <w:sz w:val="22"/>
          <w:szCs w:val="22"/>
        </w:rPr>
        <w:t>ý</w:t>
      </w:r>
      <w:r w:rsidRPr="00094181">
        <w:rPr>
          <w:b/>
          <w:bCs/>
          <w:i/>
          <w:iCs/>
          <w:sz w:val="22"/>
          <w:szCs w:val="22"/>
        </w:rPr>
        <w:t xml:space="preserve"> program </w:t>
      </w:r>
      <w:r w:rsidR="008F3949" w:rsidRPr="00094181">
        <w:rPr>
          <w:b/>
          <w:bCs/>
          <w:i/>
          <w:iCs/>
          <w:sz w:val="22"/>
          <w:szCs w:val="22"/>
        </w:rPr>
        <w:t xml:space="preserve">2014 – 2020, verzia </w:t>
      </w:r>
      <w:r w:rsidR="00597B23">
        <w:rPr>
          <w:b/>
          <w:bCs/>
          <w:i/>
          <w:iCs/>
          <w:sz w:val="22"/>
          <w:szCs w:val="22"/>
        </w:rPr>
        <w:t>12</w:t>
      </w:r>
      <w:r w:rsidR="00072B20" w:rsidRPr="00094181">
        <w:rPr>
          <w:b/>
          <w:bCs/>
          <w:i/>
          <w:iCs/>
          <w:sz w:val="22"/>
          <w:szCs w:val="22"/>
        </w:rPr>
        <w:t>.0</w:t>
      </w:r>
    </w:p>
    <w:p w14:paraId="7BAD46F9" w14:textId="77777777" w:rsidR="00E54ACB" w:rsidRPr="00F510FE" w:rsidRDefault="00E54ACB" w:rsidP="00F510FE">
      <w:pPr>
        <w:spacing w:before="240" w:line="276" w:lineRule="auto"/>
        <w:ind w:left="567" w:hanging="210"/>
        <w:jc w:val="both"/>
        <w:rPr>
          <w:b/>
          <w:bCs/>
          <w:sz w:val="22"/>
          <w:szCs w:val="22"/>
        </w:rPr>
      </w:pPr>
      <w:r w:rsidRPr="00F510FE">
        <w:rPr>
          <w:b/>
          <w:bCs/>
          <w:sz w:val="22"/>
          <w:szCs w:val="22"/>
        </w:rPr>
        <w:t>2.</w:t>
      </w:r>
      <w:r w:rsidRPr="00F510FE">
        <w:rPr>
          <w:b/>
          <w:bCs/>
          <w:sz w:val="22"/>
          <w:szCs w:val="22"/>
        </w:rPr>
        <w:tab/>
        <w:t>Charakter</w:t>
      </w:r>
    </w:p>
    <w:p w14:paraId="35C50E0B" w14:textId="2F8A4690" w:rsidR="00E974BC" w:rsidRPr="00F510FE" w:rsidRDefault="007708EA" w:rsidP="00F039E3">
      <w:pPr>
        <w:spacing w:before="120" w:line="276" w:lineRule="auto"/>
        <w:ind w:left="567"/>
        <w:jc w:val="both"/>
        <w:rPr>
          <w:sz w:val="22"/>
          <w:szCs w:val="22"/>
        </w:rPr>
      </w:pPr>
      <w:r w:rsidRPr="00F510FE">
        <w:rPr>
          <w:sz w:val="22"/>
          <w:szCs w:val="22"/>
        </w:rPr>
        <w:t>Integrovaný regionálny operačný program (ďalej len „IROP“)</w:t>
      </w:r>
      <w:r w:rsidR="00E54ACB" w:rsidRPr="00F510FE">
        <w:rPr>
          <w:sz w:val="22"/>
          <w:szCs w:val="22"/>
        </w:rPr>
        <w:t xml:space="preserve"> predstavuje strednodobý strategický dokument určujúci základné rámce a prioritné oblasti pre </w:t>
      </w:r>
      <w:r w:rsidRPr="00F510FE">
        <w:rPr>
          <w:sz w:val="22"/>
          <w:szCs w:val="22"/>
        </w:rPr>
        <w:t>regionálny rozvoj SR</w:t>
      </w:r>
      <w:r w:rsidR="00724642" w:rsidRPr="00F510FE">
        <w:rPr>
          <w:sz w:val="22"/>
          <w:szCs w:val="22"/>
        </w:rPr>
        <w:t xml:space="preserve"> v </w:t>
      </w:r>
      <w:r w:rsidR="004835E8" w:rsidRPr="00F510FE">
        <w:rPr>
          <w:sz w:val="22"/>
          <w:szCs w:val="22"/>
        </w:rPr>
        <w:t xml:space="preserve">programovom období </w:t>
      </w:r>
      <w:r w:rsidR="00E54ACB" w:rsidRPr="00F510FE">
        <w:rPr>
          <w:sz w:val="22"/>
          <w:szCs w:val="22"/>
        </w:rPr>
        <w:t>2014</w:t>
      </w:r>
      <w:r w:rsidR="004835E8" w:rsidRPr="00F510FE">
        <w:rPr>
          <w:sz w:val="22"/>
          <w:szCs w:val="22"/>
        </w:rPr>
        <w:t xml:space="preserve"> </w:t>
      </w:r>
      <w:r w:rsidR="00E54ACB" w:rsidRPr="00F510FE">
        <w:rPr>
          <w:sz w:val="22"/>
          <w:szCs w:val="22"/>
        </w:rPr>
        <w:t>-</w:t>
      </w:r>
      <w:r w:rsidR="004835E8" w:rsidRPr="00F510FE">
        <w:rPr>
          <w:sz w:val="22"/>
          <w:szCs w:val="22"/>
        </w:rPr>
        <w:t xml:space="preserve"> </w:t>
      </w:r>
      <w:r w:rsidR="00E54ACB" w:rsidRPr="00F510FE">
        <w:rPr>
          <w:sz w:val="22"/>
          <w:szCs w:val="22"/>
        </w:rPr>
        <w:t xml:space="preserve">2020. </w:t>
      </w:r>
      <w:r w:rsidR="00E974BC" w:rsidRPr="00F510FE">
        <w:rPr>
          <w:sz w:val="22"/>
          <w:szCs w:val="22"/>
        </w:rPr>
        <w:t xml:space="preserve">IROP bol schválený </w:t>
      </w:r>
      <w:r w:rsidR="005D3F30" w:rsidRPr="00F510FE">
        <w:rPr>
          <w:sz w:val="22"/>
          <w:szCs w:val="22"/>
        </w:rPr>
        <w:t xml:space="preserve">vykonávacím rozhodnutím </w:t>
      </w:r>
      <w:r w:rsidR="005D3F30" w:rsidRPr="00F510FE">
        <w:rPr>
          <w:spacing w:val="-2"/>
          <w:sz w:val="22"/>
          <w:szCs w:val="22"/>
        </w:rPr>
        <w:t>Európskej komisie C(2014)</w:t>
      </w:r>
      <w:r w:rsidR="00393026" w:rsidRPr="00F510FE">
        <w:rPr>
          <w:spacing w:val="-2"/>
          <w:sz w:val="22"/>
          <w:szCs w:val="22"/>
        </w:rPr>
        <w:t xml:space="preserve"> 10182 zo dňa 18. decembra 2014. Riad</w:t>
      </w:r>
      <w:r w:rsidR="00EB2F61" w:rsidRPr="00F510FE">
        <w:rPr>
          <w:spacing w:val="-2"/>
          <w:sz w:val="22"/>
          <w:szCs w:val="22"/>
        </w:rPr>
        <w:t>iacim orgánom pre </w:t>
      </w:r>
      <w:r w:rsidR="00393026" w:rsidRPr="00F510FE">
        <w:rPr>
          <w:spacing w:val="-2"/>
          <w:sz w:val="22"/>
          <w:szCs w:val="22"/>
        </w:rPr>
        <w:t>IROP</w:t>
      </w:r>
      <w:r w:rsidR="004835E8" w:rsidRPr="00F510FE">
        <w:rPr>
          <w:sz w:val="22"/>
          <w:szCs w:val="22"/>
        </w:rPr>
        <w:t xml:space="preserve"> zodpovedným za prípravu a implementáciu </w:t>
      </w:r>
      <w:r w:rsidR="00393026" w:rsidRPr="00F510FE">
        <w:rPr>
          <w:sz w:val="22"/>
          <w:szCs w:val="22"/>
        </w:rPr>
        <w:t xml:space="preserve">je Ministerstvo </w:t>
      </w:r>
      <w:r w:rsidR="00591479">
        <w:rPr>
          <w:sz w:val="22"/>
          <w:szCs w:val="22"/>
        </w:rPr>
        <w:t xml:space="preserve">investícií, regionálneho rozvoja a informatizácie </w:t>
      </w:r>
      <w:r w:rsidR="00393026" w:rsidRPr="00F510FE">
        <w:rPr>
          <w:sz w:val="22"/>
          <w:szCs w:val="22"/>
        </w:rPr>
        <w:t>SR</w:t>
      </w:r>
      <w:r w:rsidR="00D82DDA" w:rsidRPr="00F510FE">
        <w:rPr>
          <w:sz w:val="22"/>
          <w:szCs w:val="22"/>
        </w:rPr>
        <w:t xml:space="preserve"> (ďalej len „</w:t>
      </w:r>
      <w:r w:rsidR="00591479">
        <w:rPr>
          <w:sz w:val="22"/>
          <w:szCs w:val="22"/>
        </w:rPr>
        <w:t>MIRRI</w:t>
      </w:r>
      <w:r w:rsidR="00D82DDA" w:rsidRPr="00F510FE">
        <w:rPr>
          <w:sz w:val="22"/>
          <w:szCs w:val="22"/>
        </w:rPr>
        <w:t xml:space="preserve"> SR“)</w:t>
      </w:r>
      <w:r w:rsidR="002258C1" w:rsidRPr="00F510FE">
        <w:rPr>
          <w:sz w:val="22"/>
          <w:szCs w:val="22"/>
        </w:rPr>
        <w:t>.</w:t>
      </w:r>
    </w:p>
    <w:p w14:paraId="383CC83D" w14:textId="3CF3F0CB" w:rsidR="004835E8" w:rsidRPr="00F510FE" w:rsidRDefault="004835E8" w:rsidP="00F039E3">
      <w:pPr>
        <w:spacing w:before="120" w:line="276" w:lineRule="auto"/>
        <w:ind w:left="567"/>
        <w:jc w:val="both"/>
        <w:rPr>
          <w:spacing w:val="-2"/>
          <w:sz w:val="22"/>
          <w:szCs w:val="22"/>
        </w:rPr>
      </w:pPr>
      <w:r w:rsidRPr="00F510FE">
        <w:rPr>
          <w:sz w:val="22"/>
          <w:szCs w:val="22"/>
        </w:rPr>
        <w:t xml:space="preserve">Posudzovanie vplyvov </w:t>
      </w:r>
      <w:r w:rsidR="00D82DDA" w:rsidRPr="00F510FE">
        <w:rPr>
          <w:sz w:val="22"/>
          <w:szCs w:val="22"/>
        </w:rPr>
        <w:t xml:space="preserve">IROP </w:t>
      </w:r>
      <w:r w:rsidRPr="00F510FE">
        <w:rPr>
          <w:sz w:val="22"/>
          <w:szCs w:val="22"/>
        </w:rPr>
        <w:t xml:space="preserve">na životné prostredie </w:t>
      </w:r>
      <w:r w:rsidR="0091474D">
        <w:rPr>
          <w:sz w:val="22"/>
          <w:szCs w:val="22"/>
        </w:rPr>
        <w:t>riadiaci orgán pre IROP</w:t>
      </w:r>
      <w:r w:rsidRPr="00F510FE">
        <w:rPr>
          <w:sz w:val="22"/>
          <w:szCs w:val="22"/>
        </w:rPr>
        <w:t xml:space="preserve"> – </w:t>
      </w:r>
      <w:r w:rsidR="00591479">
        <w:rPr>
          <w:sz w:val="22"/>
          <w:szCs w:val="22"/>
        </w:rPr>
        <w:t>MIRRI</w:t>
      </w:r>
      <w:r w:rsidRPr="00F510FE">
        <w:rPr>
          <w:sz w:val="22"/>
          <w:szCs w:val="22"/>
        </w:rPr>
        <w:t xml:space="preserve"> SR </w:t>
      </w:r>
      <w:r w:rsidR="00F44AE6">
        <w:rPr>
          <w:sz w:val="22"/>
          <w:szCs w:val="22"/>
        </w:rPr>
        <w:t xml:space="preserve">zabezpečuje </w:t>
      </w:r>
      <w:r w:rsidRPr="00F510FE">
        <w:rPr>
          <w:sz w:val="22"/>
          <w:szCs w:val="22"/>
        </w:rPr>
        <w:t xml:space="preserve">v spolupráci s Ministerstvom </w:t>
      </w:r>
      <w:r w:rsidR="00D82DDA" w:rsidRPr="00F510FE">
        <w:rPr>
          <w:sz w:val="22"/>
          <w:szCs w:val="22"/>
        </w:rPr>
        <w:t>živ</w:t>
      </w:r>
      <w:r w:rsidR="00724642" w:rsidRPr="00F510FE">
        <w:rPr>
          <w:sz w:val="22"/>
          <w:szCs w:val="22"/>
        </w:rPr>
        <w:t>otného prostredia SR (ďalej len </w:t>
      </w:r>
      <w:r w:rsidR="00D82DDA" w:rsidRPr="00F510FE">
        <w:rPr>
          <w:sz w:val="22"/>
          <w:szCs w:val="22"/>
        </w:rPr>
        <w:t xml:space="preserve">„MŽP SR“) v súlade so zákonom </w:t>
      </w:r>
      <w:r w:rsidR="00057B91">
        <w:rPr>
          <w:sz w:val="22"/>
          <w:szCs w:val="22"/>
        </w:rPr>
        <w:t>o EIA.</w:t>
      </w:r>
      <w:r w:rsidR="00D82DDA" w:rsidRPr="00F510FE">
        <w:rPr>
          <w:spacing w:val="-2"/>
          <w:sz w:val="22"/>
          <w:szCs w:val="22"/>
        </w:rPr>
        <w:t xml:space="preserve"> Proc</w:t>
      </w:r>
      <w:r w:rsidR="00EB2F61" w:rsidRPr="00F510FE">
        <w:rPr>
          <w:spacing w:val="-2"/>
          <w:sz w:val="22"/>
          <w:szCs w:val="22"/>
        </w:rPr>
        <w:t>es posudzovania vplyvov IROP na </w:t>
      </w:r>
      <w:r w:rsidR="00D82DDA" w:rsidRPr="00F510FE">
        <w:rPr>
          <w:spacing w:val="-2"/>
          <w:sz w:val="22"/>
          <w:szCs w:val="22"/>
        </w:rPr>
        <w:t>život</w:t>
      </w:r>
      <w:r w:rsidR="00724642" w:rsidRPr="00F510FE">
        <w:rPr>
          <w:spacing w:val="-2"/>
          <w:sz w:val="22"/>
          <w:szCs w:val="22"/>
        </w:rPr>
        <w:t>né prostredie bol zverejnený na </w:t>
      </w:r>
      <w:r w:rsidR="00D82DDA" w:rsidRPr="00F510FE">
        <w:rPr>
          <w:spacing w:val="-2"/>
          <w:sz w:val="22"/>
          <w:szCs w:val="22"/>
        </w:rPr>
        <w:t>webových sídlach M</w:t>
      </w:r>
      <w:r w:rsidR="00591479">
        <w:rPr>
          <w:spacing w:val="-2"/>
          <w:sz w:val="22"/>
          <w:szCs w:val="22"/>
        </w:rPr>
        <w:t>IRRI</w:t>
      </w:r>
      <w:r w:rsidR="00D82DDA" w:rsidRPr="00F510FE">
        <w:rPr>
          <w:spacing w:val="-2"/>
          <w:sz w:val="22"/>
          <w:szCs w:val="22"/>
        </w:rPr>
        <w:t xml:space="preserve"> SR a MŽP SR.</w:t>
      </w:r>
    </w:p>
    <w:p w14:paraId="14156F31" w14:textId="20CFFF61" w:rsidR="00D82DDA" w:rsidRPr="00F510FE" w:rsidRDefault="00D82DDA" w:rsidP="00F039E3">
      <w:pPr>
        <w:spacing w:before="120" w:line="276" w:lineRule="auto"/>
        <w:ind w:left="567"/>
        <w:jc w:val="both"/>
        <w:rPr>
          <w:sz w:val="22"/>
          <w:szCs w:val="22"/>
        </w:rPr>
      </w:pPr>
      <w:r w:rsidRPr="00F510FE">
        <w:rPr>
          <w:sz w:val="22"/>
          <w:szCs w:val="22"/>
        </w:rPr>
        <w:t>V súlade s čl. 30 Nariadeni</w:t>
      </w:r>
      <w:r w:rsidR="00171C1A">
        <w:rPr>
          <w:sz w:val="22"/>
          <w:szCs w:val="22"/>
        </w:rPr>
        <w:t>a</w:t>
      </w:r>
      <w:r w:rsidRPr="00F510FE">
        <w:rPr>
          <w:sz w:val="22"/>
          <w:szCs w:val="22"/>
        </w:rPr>
        <w:t xml:space="preserve"> Európ</w:t>
      </w:r>
      <w:r w:rsidR="00724642" w:rsidRPr="00F510FE">
        <w:rPr>
          <w:sz w:val="22"/>
          <w:szCs w:val="22"/>
        </w:rPr>
        <w:t>skeho parlamentu a Rady (EÚ) č. </w:t>
      </w:r>
      <w:r w:rsidRPr="00F510FE">
        <w:rPr>
          <w:sz w:val="22"/>
          <w:szCs w:val="22"/>
        </w:rPr>
        <w:t>1303/2013, ktorým sa 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w:t>
      </w:r>
      <w:r w:rsidR="004A2AA3" w:rsidRPr="00F510FE">
        <w:rPr>
          <w:sz w:val="22"/>
          <w:szCs w:val="22"/>
        </w:rPr>
        <w:t>iadenie Rady (ES) č. 1083/2006) (ďalej len „všeobecné nariadenie</w:t>
      </w:r>
      <w:r w:rsidR="00171C1A">
        <w:rPr>
          <w:sz w:val="22"/>
          <w:szCs w:val="22"/>
        </w:rPr>
        <w:t>“</w:t>
      </w:r>
      <w:r w:rsidR="004A2AA3" w:rsidRPr="00F510FE">
        <w:rPr>
          <w:sz w:val="22"/>
          <w:szCs w:val="22"/>
        </w:rPr>
        <w:t xml:space="preserve">) </w:t>
      </w:r>
      <w:r w:rsidRPr="00F510FE">
        <w:rPr>
          <w:sz w:val="22"/>
          <w:szCs w:val="22"/>
        </w:rPr>
        <w:t>má RO právo navrhnúť zmenu operačného programu. Žiadosť o zmen</w:t>
      </w:r>
      <w:r w:rsidR="0082329E" w:rsidRPr="00F510FE">
        <w:rPr>
          <w:sz w:val="22"/>
          <w:szCs w:val="22"/>
        </w:rPr>
        <w:t>y</w:t>
      </w:r>
      <w:r w:rsidRPr="00F510FE">
        <w:rPr>
          <w:sz w:val="22"/>
          <w:szCs w:val="22"/>
        </w:rPr>
        <w:t xml:space="preserve"> </w:t>
      </w:r>
      <w:r w:rsidR="0082329E" w:rsidRPr="00F510FE">
        <w:rPr>
          <w:sz w:val="22"/>
          <w:szCs w:val="22"/>
        </w:rPr>
        <w:t>programov musia byť riadne odôvodnené</w:t>
      </w:r>
      <w:r w:rsidRPr="00F510FE">
        <w:rPr>
          <w:sz w:val="22"/>
          <w:szCs w:val="22"/>
        </w:rPr>
        <w:t xml:space="preserve"> a </w:t>
      </w:r>
      <w:r w:rsidR="0082329E" w:rsidRPr="00F510FE">
        <w:rPr>
          <w:sz w:val="22"/>
          <w:szCs w:val="22"/>
        </w:rPr>
        <w:t>musia</w:t>
      </w:r>
      <w:r w:rsidRPr="00F510FE">
        <w:rPr>
          <w:sz w:val="22"/>
          <w:szCs w:val="22"/>
        </w:rPr>
        <w:t xml:space="preserve"> obsahovať najmä opis očaká</w:t>
      </w:r>
      <w:r w:rsidR="00CC339B" w:rsidRPr="00F510FE">
        <w:rPr>
          <w:sz w:val="22"/>
          <w:szCs w:val="22"/>
        </w:rPr>
        <w:t>vaného dosahu zmien programu na </w:t>
      </w:r>
      <w:r w:rsidRPr="00F510FE">
        <w:rPr>
          <w:sz w:val="22"/>
          <w:szCs w:val="22"/>
        </w:rPr>
        <w:t>naplnenie stratégie Únie na zabezpečenie inteligentného, udržateľného a </w:t>
      </w:r>
      <w:proofErr w:type="spellStart"/>
      <w:r w:rsidRPr="00F510FE">
        <w:rPr>
          <w:sz w:val="22"/>
          <w:szCs w:val="22"/>
        </w:rPr>
        <w:t>inkluzívneho</w:t>
      </w:r>
      <w:proofErr w:type="spellEnd"/>
      <w:r w:rsidRPr="00F510FE">
        <w:rPr>
          <w:sz w:val="22"/>
          <w:szCs w:val="22"/>
        </w:rPr>
        <w:t xml:space="preserve"> rastu a </w:t>
      </w:r>
      <w:r w:rsidR="0082329E" w:rsidRPr="00F510FE">
        <w:rPr>
          <w:sz w:val="22"/>
          <w:szCs w:val="22"/>
        </w:rPr>
        <w:t>špecifických</w:t>
      </w:r>
      <w:r w:rsidRPr="00F510FE">
        <w:rPr>
          <w:sz w:val="22"/>
          <w:szCs w:val="22"/>
        </w:rPr>
        <w:t xml:space="preserve"> cieľov stanovených v</w:t>
      </w:r>
      <w:r w:rsidR="0082329E" w:rsidRPr="00F510FE">
        <w:rPr>
          <w:sz w:val="22"/>
          <w:szCs w:val="22"/>
        </w:rPr>
        <w:t xml:space="preserve"> operačnom </w:t>
      </w:r>
      <w:r w:rsidRPr="00F510FE">
        <w:rPr>
          <w:sz w:val="22"/>
          <w:szCs w:val="22"/>
        </w:rPr>
        <w:t xml:space="preserve">programe. </w:t>
      </w:r>
    </w:p>
    <w:p w14:paraId="0D4817D5" w14:textId="2650D5E1" w:rsidR="00591479" w:rsidRPr="00591479" w:rsidRDefault="008B3CCA" w:rsidP="00591479">
      <w:pPr>
        <w:spacing w:before="240" w:line="276" w:lineRule="auto"/>
        <w:ind w:left="567" w:hanging="210"/>
        <w:jc w:val="both"/>
        <w:rPr>
          <w:sz w:val="22"/>
          <w:szCs w:val="22"/>
        </w:rPr>
      </w:pPr>
      <w:r>
        <w:rPr>
          <w:rFonts w:ascii="Arial Narrow" w:hAnsi="Arial Narrow"/>
          <w:sz w:val="22"/>
          <w:szCs w:val="22"/>
        </w:rPr>
        <w:tab/>
      </w:r>
      <w:r w:rsidRPr="008B3CCA">
        <w:rPr>
          <w:sz w:val="22"/>
          <w:szCs w:val="22"/>
        </w:rPr>
        <w:t>RO pre IROP</w:t>
      </w:r>
      <w:r>
        <w:rPr>
          <w:sz w:val="22"/>
          <w:szCs w:val="22"/>
        </w:rPr>
        <w:t xml:space="preserve"> v rámci revízie IROP, verzia </w:t>
      </w:r>
      <w:r w:rsidR="00597B23">
        <w:rPr>
          <w:sz w:val="22"/>
          <w:szCs w:val="22"/>
        </w:rPr>
        <w:t>12</w:t>
      </w:r>
      <w:r>
        <w:rPr>
          <w:sz w:val="22"/>
          <w:szCs w:val="22"/>
        </w:rPr>
        <w:t>.0</w:t>
      </w:r>
      <w:r w:rsidRPr="008B3CCA">
        <w:rPr>
          <w:sz w:val="22"/>
          <w:szCs w:val="22"/>
        </w:rPr>
        <w:t xml:space="preserve"> pristúpil k úprave operačného programu z dôvodu </w:t>
      </w:r>
      <w:r w:rsidR="00591479">
        <w:rPr>
          <w:sz w:val="22"/>
          <w:szCs w:val="22"/>
        </w:rPr>
        <w:t xml:space="preserve">stavu implementácie IROP a navýšenia dodatočnej alokácie z REACT-EÚ v súlade s </w:t>
      </w:r>
      <w:r w:rsidR="00591479" w:rsidRPr="00591479">
        <w:rPr>
          <w:sz w:val="22"/>
          <w:szCs w:val="22"/>
        </w:rPr>
        <w:t>Nariadením Európskeho Parlamentu a Rady (EÚ) 2020/2221 z 23. decembra 2020, ktorým sa mení nariadenie (EÚ) č. 1303/2013, pokiaľ ide o dodatočné zdroje a vykonávacie opatrenia na poskytovanie pomoci na podporu obnovy po kríze spojenej s pandémiou COVID-19 vrátane jej sociálnych dôsledkov a na prípravu zeleného, digitálneho a odolného oživenia hospodárstva (REACT-EU)</w:t>
      </w:r>
      <w:r w:rsidR="00591479">
        <w:rPr>
          <w:sz w:val="22"/>
          <w:szCs w:val="22"/>
        </w:rPr>
        <w:t>.</w:t>
      </w:r>
    </w:p>
    <w:p w14:paraId="2F55FD38" w14:textId="7AFA7F67" w:rsidR="00E54ACB" w:rsidRPr="00F510FE" w:rsidRDefault="00E54ACB" w:rsidP="00F039E3">
      <w:pPr>
        <w:spacing w:before="240" w:line="276" w:lineRule="auto"/>
        <w:ind w:left="567" w:hanging="210"/>
        <w:jc w:val="both"/>
        <w:rPr>
          <w:b/>
          <w:bCs/>
          <w:sz w:val="22"/>
          <w:szCs w:val="22"/>
        </w:rPr>
      </w:pPr>
      <w:r w:rsidRPr="00F510FE">
        <w:rPr>
          <w:b/>
          <w:bCs/>
          <w:sz w:val="22"/>
          <w:szCs w:val="22"/>
        </w:rPr>
        <w:t>3.</w:t>
      </w:r>
      <w:r w:rsidRPr="00F510FE">
        <w:rPr>
          <w:b/>
          <w:bCs/>
          <w:sz w:val="22"/>
          <w:szCs w:val="22"/>
        </w:rPr>
        <w:tab/>
        <w:t>Hlavné ciele</w:t>
      </w:r>
    </w:p>
    <w:p w14:paraId="002140B6" w14:textId="5DAFC791" w:rsidR="00230B90" w:rsidRPr="00F510FE" w:rsidRDefault="00C63DE7" w:rsidP="00F039E3">
      <w:pPr>
        <w:spacing w:before="120" w:line="276" w:lineRule="auto"/>
        <w:ind w:left="567"/>
        <w:jc w:val="both"/>
        <w:rPr>
          <w:sz w:val="22"/>
          <w:szCs w:val="22"/>
        </w:rPr>
      </w:pPr>
      <w:r w:rsidRPr="00F510FE">
        <w:rPr>
          <w:sz w:val="22"/>
          <w:szCs w:val="22"/>
        </w:rPr>
        <w:t>Cieľom návrh</w:t>
      </w:r>
      <w:r w:rsidR="00E501C8" w:rsidRPr="00F510FE">
        <w:rPr>
          <w:sz w:val="22"/>
          <w:szCs w:val="22"/>
        </w:rPr>
        <w:t>ov</w:t>
      </w:r>
      <w:r w:rsidRPr="00F510FE">
        <w:rPr>
          <w:sz w:val="22"/>
          <w:szCs w:val="22"/>
        </w:rPr>
        <w:t xml:space="preserve"> zmien IROP</w:t>
      </w:r>
      <w:r w:rsidR="00620548" w:rsidRPr="00F510FE">
        <w:rPr>
          <w:sz w:val="22"/>
          <w:szCs w:val="22"/>
        </w:rPr>
        <w:t xml:space="preserve"> je zabezpečiť </w:t>
      </w:r>
      <w:r w:rsidR="00591479">
        <w:rPr>
          <w:sz w:val="22"/>
          <w:szCs w:val="22"/>
        </w:rPr>
        <w:t xml:space="preserve">efektívnu </w:t>
      </w:r>
      <w:r w:rsidR="00620548" w:rsidRPr="00F510FE">
        <w:rPr>
          <w:sz w:val="22"/>
          <w:szCs w:val="22"/>
        </w:rPr>
        <w:t xml:space="preserve">implementáciu IROP v súlade </w:t>
      </w:r>
      <w:r w:rsidR="00E501C8" w:rsidRPr="00F510FE">
        <w:rPr>
          <w:sz w:val="22"/>
          <w:szCs w:val="22"/>
        </w:rPr>
        <w:t xml:space="preserve">s legislatívou Európskej únie, SR a príslušnými národnými stratégiami. </w:t>
      </w:r>
    </w:p>
    <w:p w14:paraId="4C5F4063" w14:textId="77777777" w:rsidR="00711F1D" w:rsidRPr="00F510FE" w:rsidRDefault="00711F1D" w:rsidP="00F039E3">
      <w:pPr>
        <w:spacing w:before="120" w:line="276" w:lineRule="auto"/>
        <w:ind w:left="567"/>
        <w:jc w:val="both"/>
        <w:rPr>
          <w:sz w:val="22"/>
          <w:szCs w:val="22"/>
        </w:rPr>
      </w:pPr>
      <w:r w:rsidRPr="00F510FE">
        <w:rPr>
          <w:sz w:val="22"/>
          <w:szCs w:val="22"/>
        </w:rPr>
        <w:t>Tým</w:t>
      </w:r>
      <w:r w:rsidR="00213CE7" w:rsidRPr="00F510FE">
        <w:rPr>
          <w:sz w:val="22"/>
          <w:szCs w:val="22"/>
        </w:rPr>
        <w:t>i</w:t>
      </w:r>
      <w:r w:rsidRPr="00F510FE">
        <w:rPr>
          <w:sz w:val="22"/>
          <w:szCs w:val="22"/>
        </w:rPr>
        <w:t>to zmenami strategického dokumentu nedochádza k zmene cieľov, ani stratégie IROP.</w:t>
      </w:r>
    </w:p>
    <w:p w14:paraId="17A77DCC" w14:textId="2E650C43" w:rsidR="00620548" w:rsidRPr="00F510FE" w:rsidRDefault="00620548" w:rsidP="00F039E3">
      <w:pPr>
        <w:spacing w:before="120" w:line="276" w:lineRule="auto"/>
        <w:ind w:left="567"/>
        <w:jc w:val="both"/>
        <w:rPr>
          <w:sz w:val="22"/>
          <w:szCs w:val="22"/>
        </w:rPr>
      </w:pPr>
      <w:r w:rsidRPr="00F510FE">
        <w:rPr>
          <w:sz w:val="22"/>
          <w:szCs w:val="22"/>
        </w:rPr>
        <w:t>Ciele programu na naplnenie stratégie Únie na zabezpečenie inteligentného, udržateľného a </w:t>
      </w:r>
      <w:proofErr w:type="spellStart"/>
      <w:r w:rsidRPr="00F510FE">
        <w:rPr>
          <w:sz w:val="22"/>
          <w:szCs w:val="22"/>
        </w:rPr>
        <w:t>inkluzívneho</w:t>
      </w:r>
      <w:proofErr w:type="spellEnd"/>
      <w:r w:rsidRPr="00F510FE">
        <w:rPr>
          <w:sz w:val="22"/>
          <w:szCs w:val="22"/>
        </w:rPr>
        <w:t xml:space="preserve"> rastu a špecifických cieľov IROP</w:t>
      </w:r>
      <w:r w:rsidR="00591479">
        <w:rPr>
          <w:sz w:val="22"/>
          <w:szCs w:val="22"/>
        </w:rPr>
        <w:t>, ktoré</w:t>
      </w:r>
      <w:r w:rsidRPr="00F510FE">
        <w:rPr>
          <w:sz w:val="22"/>
          <w:szCs w:val="22"/>
        </w:rPr>
        <w:t xml:space="preserve"> zostávajú taktiež bez zmeny. </w:t>
      </w:r>
    </w:p>
    <w:p w14:paraId="0F91B6AE" w14:textId="10CB94C0" w:rsidR="009C32B1" w:rsidRPr="00F510FE" w:rsidRDefault="009C32B1" w:rsidP="00F039E3">
      <w:pPr>
        <w:widowControl/>
        <w:tabs>
          <w:tab w:val="left" w:pos="993"/>
        </w:tabs>
        <w:autoSpaceDE/>
        <w:autoSpaceDN/>
        <w:adjustRightInd/>
        <w:spacing w:line="276" w:lineRule="auto"/>
        <w:ind w:left="993" w:hanging="426"/>
        <w:rPr>
          <w:b/>
          <w:bCs/>
          <w:sz w:val="22"/>
          <w:szCs w:val="22"/>
        </w:rPr>
      </w:pPr>
    </w:p>
    <w:p w14:paraId="6419F432" w14:textId="77777777" w:rsidR="00E54ACB" w:rsidRPr="00F510FE" w:rsidRDefault="00E54ACB" w:rsidP="00D66A79">
      <w:pPr>
        <w:spacing w:before="80" w:after="80" w:line="276" w:lineRule="auto"/>
        <w:ind w:left="567" w:hanging="210"/>
        <w:jc w:val="both"/>
        <w:rPr>
          <w:b/>
          <w:bCs/>
          <w:sz w:val="22"/>
          <w:szCs w:val="22"/>
        </w:rPr>
      </w:pPr>
      <w:r w:rsidRPr="00F510FE">
        <w:rPr>
          <w:b/>
          <w:bCs/>
          <w:sz w:val="22"/>
          <w:szCs w:val="22"/>
        </w:rPr>
        <w:t>4.</w:t>
      </w:r>
      <w:r w:rsidRPr="00F510FE">
        <w:rPr>
          <w:b/>
          <w:bCs/>
          <w:sz w:val="22"/>
          <w:szCs w:val="22"/>
        </w:rPr>
        <w:tab/>
        <w:t xml:space="preserve">Obsah </w:t>
      </w:r>
    </w:p>
    <w:p w14:paraId="051C5BBF" w14:textId="4FE41789" w:rsidR="007A0CB7" w:rsidRDefault="008B3CCA" w:rsidP="00D66A79">
      <w:pPr>
        <w:spacing w:before="80" w:after="80" w:line="276" w:lineRule="auto"/>
        <w:ind w:left="567"/>
        <w:jc w:val="both"/>
        <w:rPr>
          <w:sz w:val="22"/>
          <w:szCs w:val="22"/>
        </w:rPr>
      </w:pPr>
      <w:r>
        <w:rPr>
          <w:sz w:val="22"/>
          <w:szCs w:val="22"/>
        </w:rPr>
        <w:t xml:space="preserve">RO pre IROP vykonal v rámci revízie IROP, verzia </w:t>
      </w:r>
      <w:r w:rsidR="00597B23">
        <w:rPr>
          <w:sz w:val="22"/>
          <w:szCs w:val="22"/>
        </w:rPr>
        <w:t>12</w:t>
      </w:r>
      <w:r>
        <w:rPr>
          <w:sz w:val="22"/>
          <w:szCs w:val="22"/>
        </w:rPr>
        <w:t xml:space="preserve">.0 </w:t>
      </w:r>
      <w:r w:rsidR="007A0CB7" w:rsidRPr="00F510FE">
        <w:rPr>
          <w:sz w:val="22"/>
          <w:szCs w:val="22"/>
        </w:rPr>
        <w:t>nasledovné zmeny:</w:t>
      </w:r>
    </w:p>
    <w:p w14:paraId="72A51BBD" w14:textId="18F742E5" w:rsidR="004414E7" w:rsidRDefault="004414E7" w:rsidP="004414E7">
      <w:pPr>
        <w:pStyle w:val="Default"/>
        <w:jc w:val="both"/>
        <w:rPr>
          <w:rFonts w:ascii="Arial" w:hAnsi="Arial" w:cs="Arial"/>
          <w:sz w:val="22"/>
          <w:szCs w:val="22"/>
        </w:rPr>
      </w:pPr>
    </w:p>
    <w:p w14:paraId="60CE14B2" w14:textId="1B61E3CE" w:rsidR="00F760CD" w:rsidRDefault="00F760CD" w:rsidP="004414E7">
      <w:pPr>
        <w:pStyle w:val="Default"/>
        <w:jc w:val="both"/>
        <w:rPr>
          <w:rFonts w:ascii="Arial" w:hAnsi="Arial" w:cs="Arial"/>
          <w:sz w:val="22"/>
          <w:szCs w:val="22"/>
        </w:rPr>
      </w:pPr>
    </w:p>
    <w:p w14:paraId="48A0230A" w14:textId="77777777" w:rsidR="00591479" w:rsidRPr="00591479" w:rsidRDefault="00591479" w:rsidP="00591479">
      <w:pPr>
        <w:pStyle w:val="Odsekzoznamu"/>
        <w:numPr>
          <w:ilvl w:val="0"/>
          <w:numId w:val="28"/>
        </w:numPr>
        <w:spacing w:before="120" w:after="120" w:line="240" w:lineRule="auto"/>
        <w:ind w:left="284" w:hanging="284"/>
        <w:contextualSpacing w:val="0"/>
        <w:jc w:val="both"/>
        <w:rPr>
          <w:rFonts w:ascii="Arial" w:hAnsi="Arial" w:cs="Arial"/>
          <w:b/>
        </w:rPr>
      </w:pPr>
      <w:r w:rsidRPr="00591479">
        <w:rPr>
          <w:rFonts w:ascii="Arial" w:hAnsi="Arial" w:cs="Arial"/>
          <w:b/>
        </w:rPr>
        <w:t>Doplnenie oprávneného žiadateľa v rámci špecifického cieľa 2.2.3 Zvýšenie počtu žiakov stredných odborných škôl na praktickom vyučovaní</w:t>
      </w:r>
    </w:p>
    <w:p w14:paraId="426D00D0" w14:textId="77777777" w:rsidR="00591479" w:rsidRPr="00591479" w:rsidRDefault="00591479" w:rsidP="0087675E">
      <w:pPr>
        <w:spacing w:before="120" w:line="276" w:lineRule="auto"/>
        <w:jc w:val="both"/>
        <w:rPr>
          <w:sz w:val="22"/>
          <w:szCs w:val="22"/>
        </w:rPr>
      </w:pPr>
      <w:r w:rsidRPr="00591479">
        <w:rPr>
          <w:sz w:val="22"/>
          <w:szCs w:val="22"/>
        </w:rPr>
        <w:t>V zmysle vyhlášky Ministerstva školstva, vedy, výskumu a športu SR č. 251/2018 Z. z. o sústave odborov vzdelávania pre stredné školy a o vecnej pôsobnosti k odborom vzdelávania konzervatória poskytujú výchovu v vzdelávanie v študijných odboroch, ktorá sú zaradené so sústavy odborov vzdelávania pre stredné školy.</w:t>
      </w:r>
    </w:p>
    <w:p w14:paraId="6AC4FEA8" w14:textId="77777777" w:rsidR="00591479" w:rsidRPr="00591479" w:rsidRDefault="00591479" w:rsidP="0087675E">
      <w:pPr>
        <w:spacing w:before="120" w:line="276" w:lineRule="auto"/>
        <w:jc w:val="both"/>
        <w:rPr>
          <w:sz w:val="22"/>
          <w:szCs w:val="22"/>
        </w:rPr>
      </w:pPr>
      <w:r w:rsidRPr="00591479">
        <w:rPr>
          <w:sz w:val="22"/>
          <w:szCs w:val="22"/>
        </w:rPr>
        <w:t xml:space="preserve">V zmysle zákona č. 245/2008 Z. z. o výchove a vzdelávaní a o zmene a doplnení niektorých zákonov, konzervatórium poskytuje komplexné umelecké a umelecko-pedagogické vzdelanie. Pripravuje žiakov na profesionálne umelecké uplatnenie a na vyučovanie umeleckých a odborných predmetov vo vzdelávacích programoch umeleckého zamerania. </w:t>
      </w:r>
    </w:p>
    <w:p w14:paraId="226A5DBB" w14:textId="77777777" w:rsidR="00591479" w:rsidRPr="00591479" w:rsidRDefault="00591479" w:rsidP="0087675E">
      <w:pPr>
        <w:spacing w:before="120" w:line="276" w:lineRule="auto"/>
        <w:jc w:val="both"/>
        <w:rPr>
          <w:sz w:val="22"/>
          <w:szCs w:val="22"/>
        </w:rPr>
      </w:pPr>
      <w:r w:rsidRPr="00591479">
        <w:rPr>
          <w:sz w:val="22"/>
          <w:szCs w:val="22"/>
        </w:rPr>
        <w:t xml:space="preserve">Konzervatórium poskytuje úplné </w:t>
      </w:r>
      <w:r w:rsidRPr="00591479">
        <w:rPr>
          <w:b/>
          <w:sz w:val="22"/>
          <w:szCs w:val="22"/>
        </w:rPr>
        <w:t>stredné odborné vzdelanie</w:t>
      </w:r>
      <w:r w:rsidRPr="00591479">
        <w:rPr>
          <w:sz w:val="22"/>
          <w:szCs w:val="22"/>
        </w:rPr>
        <w:t xml:space="preserve"> úspešným vykonaním maturitnej skúšky a </w:t>
      </w:r>
      <w:r w:rsidRPr="00591479">
        <w:rPr>
          <w:b/>
          <w:sz w:val="22"/>
          <w:szCs w:val="22"/>
        </w:rPr>
        <w:t>vyššie odborné vzdelanie</w:t>
      </w:r>
      <w:r w:rsidRPr="00591479">
        <w:rPr>
          <w:sz w:val="22"/>
          <w:szCs w:val="22"/>
        </w:rPr>
        <w:t xml:space="preserve"> úspešným vykonaním absolventskej skúšky. </w:t>
      </w:r>
    </w:p>
    <w:p w14:paraId="659A9B95" w14:textId="77777777" w:rsidR="00591479" w:rsidRPr="00591479" w:rsidRDefault="00591479" w:rsidP="0087675E">
      <w:pPr>
        <w:spacing w:before="120" w:line="276" w:lineRule="auto"/>
        <w:jc w:val="both"/>
        <w:rPr>
          <w:sz w:val="22"/>
          <w:szCs w:val="22"/>
        </w:rPr>
      </w:pPr>
      <w:r w:rsidRPr="00591479">
        <w:rPr>
          <w:sz w:val="22"/>
          <w:szCs w:val="22"/>
        </w:rPr>
        <w:t xml:space="preserve">Odbornú prax žiaci konzervatória môžu vykonávať ako: </w:t>
      </w:r>
    </w:p>
    <w:p w14:paraId="774F9C5C" w14:textId="77777777" w:rsidR="00591479" w:rsidRPr="00591479" w:rsidRDefault="00591479" w:rsidP="0087675E">
      <w:pPr>
        <w:pStyle w:val="Odsekzoznamu"/>
        <w:numPr>
          <w:ilvl w:val="0"/>
          <w:numId w:val="27"/>
        </w:numPr>
        <w:spacing w:before="120" w:after="0"/>
        <w:ind w:left="284" w:hanging="142"/>
        <w:jc w:val="both"/>
        <w:rPr>
          <w:rFonts w:ascii="Arial" w:hAnsi="Arial" w:cs="Arial"/>
        </w:rPr>
      </w:pPr>
      <w:r w:rsidRPr="00591479">
        <w:rPr>
          <w:rFonts w:ascii="Arial" w:hAnsi="Arial" w:cs="Arial"/>
        </w:rPr>
        <w:t>Umeleckú prax internú – pod vedením učiteľov umeleckej praxe formou výučby hry na hudobné nástroje (komorná hra), pôsobením v školských súboroch (symfonický orchester, Zborový spev, Tanečný Big Band orchester);</w:t>
      </w:r>
    </w:p>
    <w:p w14:paraId="442E7194" w14:textId="77777777" w:rsidR="00591479" w:rsidRPr="00591479" w:rsidRDefault="00591479" w:rsidP="0087675E">
      <w:pPr>
        <w:pStyle w:val="Odsekzoznamu"/>
        <w:numPr>
          <w:ilvl w:val="0"/>
          <w:numId w:val="27"/>
        </w:numPr>
        <w:spacing w:before="120" w:after="0"/>
        <w:ind w:left="284" w:hanging="142"/>
        <w:jc w:val="both"/>
        <w:rPr>
          <w:rFonts w:ascii="Arial" w:hAnsi="Arial" w:cs="Arial"/>
        </w:rPr>
      </w:pPr>
      <w:r w:rsidRPr="00591479">
        <w:rPr>
          <w:rFonts w:ascii="Arial" w:hAnsi="Arial" w:cs="Arial"/>
        </w:rPr>
        <w:t>Umeleckú prax verejnú – prípravou a účinkovaním na verejných koncertoch školy, účasťou na majstrovských interpretačných kurzoch, prípravou a účasťou na štátnych a medzinárodných súťažiach, prípravou a realizáciou výchovných koncertov pre základe a stredné školy, účinkovaním v umeleckých programoch na kultúrnych slávnostiach, charitatívnych a verejno-prospešných podujatiach;</w:t>
      </w:r>
    </w:p>
    <w:p w14:paraId="44C813DB" w14:textId="77777777" w:rsidR="00591479" w:rsidRPr="00591479" w:rsidRDefault="00591479" w:rsidP="0087675E">
      <w:pPr>
        <w:pStyle w:val="Odsekzoznamu"/>
        <w:numPr>
          <w:ilvl w:val="0"/>
          <w:numId w:val="27"/>
        </w:numPr>
        <w:spacing w:before="120" w:after="0"/>
        <w:ind w:left="284" w:hanging="142"/>
        <w:jc w:val="both"/>
        <w:rPr>
          <w:rFonts w:ascii="Arial" w:hAnsi="Arial" w:cs="Arial"/>
        </w:rPr>
      </w:pPr>
      <w:proofErr w:type="spellStart"/>
      <w:r w:rsidRPr="00591479">
        <w:rPr>
          <w:rFonts w:ascii="Arial" w:hAnsi="Arial" w:cs="Arial"/>
        </w:rPr>
        <w:t>Pedagogicko</w:t>
      </w:r>
      <w:proofErr w:type="spellEnd"/>
      <w:r w:rsidRPr="00591479">
        <w:rPr>
          <w:rFonts w:ascii="Arial" w:hAnsi="Arial" w:cs="Arial"/>
        </w:rPr>
        <w:t>–umeleckú prax pre žiakov vyššieho odborného štúdia.</w:t>
      </w:r>
    </w:p>
    <w:p w14:paraId="4AAE9146" w14:textId="22E0C0A7" w:rsidR="00591479" w:rsidRPr="00591479" w:rsidRDefault="00591479" w:rsidP="0087675E">
      <w:pPr>
        <w:spacing w:before="120" w:line="276" w:lineRule="auto"/>
        <w:jc w:val="both"/>
        <w:rPr>
          <w:sz w:val="22"/>
          <w:szCs w:val="22"/>
        </w:rPr>
      </w:pPr>
      <w:r w:rsidRPr="00591479">
        <w:rPr>
          <w:sz w:val="22"/>
          <w:szCs w:val="22"/>
        </w:rPr>
        <w:t xml:space="preserve">Doplnením oprávnených žiadateľov „konzervatórií“ sa očakáva zvýšenie kvality poskytovaného vzdelávania a úroveň nadobudnutých zručností žiakov a taktiež ich úspešné uplatnenie na trhu práce prostredníctvom zlepšenia materiálno - technického vybavenia a modernizácie priestorov konzervatórií v ktorých sa realizuje umelecká prax. </w:t>
      </w:r>
    </w:p>
    <w:p w14:paraId="56ECFF11" w14:textId="77777777" w:rsidR="00591479" w:rsidRPr="00591479" w:rsidRDefault="00591479" w:rsidP="00591479">
      <w:pPr>
        <w:pStyle w:val="Odsekzoznamu"/>
        <w:numPr>
          <w:ilvl w:val="0"/>
          <w:numId w:val="28"/>
        </w:numPr>
        <w:spacing w:before="240" w:after="120" w:line="240" w:lineRule="auto"/>
        <w:ind w:left="284" w:hanging="284"/>
        <w:contextualSpacing w:val="0"/>
        <w:jc w:val="both"/>
        <w:rPr>
          <w:rFonts w:ascii="Arial" w:hAnsi="Arial" w:cs="Arial"/>
          <w:b/>
        </w:rPr>
      </w:pPr>
      <w:r w:rsidRPr="00591479">
        <w:rPr>
          <w:rFonts w:ascii="Arial" w:hAnsi="Arial" w:cs="Arial"/>
          <w:b/>
        </w:rPr>
        <w:t>Úprava vybraných merateľných ukazovateľov IROP</w:t>
      </w:r>
    </w:p>
    <w:p w14:paraId="06F76CB9" w14:textId="5788B2CC" w:rsidR="000A5DBD" w:rsidRPr="00BE0357" w:rsidRDefault="000A5DBD" w:rsidP="00361F79">
      <w:pPr>
        <w:pStyle w:val="Odsekzoznamu"/>
        <w:numPr>
          <w:ilvl w:val="0"/>
          <w:numId w:val="44"/>
        </w:numPr>
        <w:spacing w:before="240" w:after="120"/>
        <w:jc w:val="both"/>
        <w:rPr>
          <w:rFonts w:ascii="Arial" w:hAnsi="Arial" w:cs="Arial"/>
          <w:b/>
        </w:rPr>
      </w:pPr>
      <w:r w:rsidRPr="00BE0357">
        <w:rPr>
          <w:rFonts w:ascii="Arial" w:hAnsi="Arial" w:cs="Arial"/>
          <w:b/>
        </w:rPr>
        <w:t xml:space="preserve">Úprava </w:t>
      </w:r>
      <w:r w:rsidR="00361F79" w:rsidRPr="00361F79">
        <w:rPr>
          <w:rFonts w:ascii="Arial" w:hAnsi="Arial" w:cs="Arial"/>
          <w:b/>
        </w:rPr>
        <w:t xml:space="preserve">a doplnenie </w:t>
      </w:r>
      <w:r w:rsidRPr="00BE0357">
        <w:rPr>
          <w:rFonts w:ascii="Arial" w:hAnsi="Arial" w:cs="Arial"/>
          <w:b/>
        </w:rPr>
        <w:t>vybraných merateľných ukazovateľov v rámci špecifick</w:t>
      </w:r>
      <w:r w:rsidR="00361F79">
        <w:rPr>
          <w:rFonts w:ascii="Arial" w:hAnsi="Arial" w:cs="Arial"/>
          <w:b/>
        </w:rPr>
        <w:t>ého</w:t>
      </w:r>
      <w:r w:rsidRPr="00BE0357">
        <w:rPr>
          <w:rFonts w:ascii="Arial" w:hAnsi="Arial" w:cs="Arial"/>
          <w:b/>
        </w:rPr>
        <w:t xml:space="preserve"> cieľ</w:t>
      </w:r>
      <w:r w:rsidR="00361F79">
        <w:rPr>
          <w:rFonts w:ascii="Arial" w:hAnsi="Arial" w:cs="Arial"/>
          <w:b/>
        </w:rPr>
        <w:t>a</w:t>
      </w:r>
      <w:r w:rsidRPr="00BE0357">
        <w:rPr>
          <w:rFonts w:ascii="Arial" w:hAnsi="Arial" w:cs="Arial"/>
          <w:b/>
        </w:rPr>
        <w:t xml:space="preserve"> 2.1.4 IROP</w:t>
      </w:r>
    </w:p>
    <w:p w14:paraId="5D12A828" w14:textId="6FDF3ED8" w:rsidR="000A5DBD" w:rsidRPr="000A5DBD" w:rsidRDefault="000A5DBD" w:rsidP="0087675E">
      <w:pPr>
        <w:pStyle w:val="Zkladntext"/>
        <w:spacing w:after="240" w:line="276" w:lineRule="auto"/>
        <w:jc w:val="both"/>
      </w:pPr>
      <w:r w:rsidRPr="000A5DBD">
        <w:rPr>
          <w:rFonts w:eastAsiaTheme="minorHAnsi"/>
          <w:color w:val="000000"/>
          <w:lang w:eastAsia="en-US" w:bidi="ar-SA"/>
        </w:rPr>
        <w:t>SO pre IROP v súvislosti s ochorením COVID-19, jeho epidemiologickým vývojom a dopadmi na hospodárstvo, vývoj cien v jednotlivých odvetviach ekonomiky, prehodnotilo reálnosť naplnenia cieľových hodnôt merateľných ukazovateľov. Jedným z dôsledkov v súvislosti s ochorením COVID-19 bolo zvýšenie cien niektorých tovarov (napr. osobné ochranné prostriedky a pod.), oneskorenie realizácie aktivít projektov, ako aj potreba zabezpečenia nemocníc špeciálnymi zdravotníckymi prístrojmi a zariadeniami vzhľadom na dramatický vývoj epidémie na Slovensku, predovšetkým v menej rozvinutých regiónoch, ako napr. východné Slovensko, Orava a Kysuce. Pôvodne definované cieľové hodnoty merateľných ukazovateľov v rámci špecifického cieľa 2.1.4 pre viac rozvinutý región a menej rozvinutý región vychádzali z predpokladu, že v Bratislave bude tzv. červená zóna vzhľadom na koncentráciu počtu obyvateľov, polohu Bratislavy (hranice s Rakúskom a Maďarskom a s tým súvisiaci zvýšený pohyb obyvateľstva), ako aj zo skúseností iných metropol Európskej únie. Skutočný vývoj pandémie však nepotvrdil daný predpoklad, pričom nebolo možné sa oprieť ani o historické dáta pri pôvodnom stanovení cieľových hodnôt merateľných ukazovateľov.</w:t>
      </w:r>
      <w:r w:rsidRPr="000A5DBD">
        <w:t xml:space="preserve"> </w:t>
      </w:r>
    </w:p>
    <w:p w14:paraId="2FC9F427" w14:textId="2B148F29" w:rsidR="000A5DBD" w:rsidRDefault="000A5DBD" w:rsidP="0087675E">
      <w:pPr>
        <w:pStyle w:val="Zkladntext"/>
        <w:spacing w:after="240" w:line="276" w:lineRule="auto"/>
        <w:jc w:val="both"/>
      </w:pPr>
      <w:r w:rsidRPr="000A5DBD">
        <w:t xml:space="preserve">V súvislosti s uvedenými skutočnosťami SO pre IROP zohľadnil vývoj pandémie a zvýšenú potrebu </w:t>
      </w:r>
      <w:r w:rsidRPr="000A5DBD">
        <w:lastRenderedPageBreak/>
        <w:t xml:space="preserve">zdravotníckych prístrojov a zariadení vzhľadom na vysoký počet hospitalizovaných pacientov s ochorením COVID-19 s cieľom poskytnúť adekvátnu a kvalitnú zdravotnú starostlivosť čo najväčšiemu počtu </w:t>
      </w:r>
      <w:proofErr w:type="spellStart"/>
      <w:r w:rsidRPr="000A5DBD">
        <w:t>suspektných</w:t>
      </w:r>
      <w:proofErr w:type="spellEnd"/>
      <w:r w:rsidRPr="000A5DBD">
        <w:t xml:space="preserve"> a nakazených pacientov a tým predchádzať vysokej úmrtnosti a identifikoval merateľné ukazovatele, pri ktorých je nutné upraviť cieľovú hodnotu ich naplnenia. V nadväznosti na akútnu potrebu zdravotníckych prístrojov a zariadení, MZ SR ako SO pre IROP pristúpilo k navýšeniu cieľovej hodnoty príslušného merateľného ukazovateľa, čím však došlo k proporcionálnemu zníženiu cieľových hodnôt iných merateľných ukazovateľov, zameraných napr. na nákup osobných ochranných prostriedkov, ktoré boli počas 1. a 2. vlny pandémie čiastočne hradené aj zo štátnych hmotných rezerv. MZ SR ako SO pre IROP, aby predišlo duplicitnému financovaniu a zároveň aby bola podpora využitá čo najefektívnejšie s cieľom poskytnúť neodkladnú, adekvátnu a kvalitnú zdravotnú starostlivosť, a tým predchádzalo šíreniu pandémie COVID-19 a vysokej úmrtnosti, časť finančných prostriedkov presmerovalo na zabezpečenie nemocníc zdravotníckym prístrojovým zariadením. Bližší popis zmien cieľových hodnôt merateľných ukazovateľov je uvedený v tabuľke č. 1. pre špecifický cieľ 2.1.4</w:t>
      </w:r>
      <w:r w:rsidR="00597B23">
        <w:t>.</w:t>
      </w:r>
    </w:p>
    <w:p w14:paraId="032379EF" w14:textId="77777777" w:rsidR="00597B23" w:rsidRPr="00597B23" w:rsidRDefault="00597B23" w:rsidP="0087675E">
      <w:pPr>
        <w:pStyle w:val="Zkladntext"/>
        <w:spacing w:before="120" w:after="240" w:line="276" w:lineRule="auto"/>
        <w:jc w:val="both"/>
        <w:rPr>
          <w:color w:val="000000"/>
        </w:rPr>
      </w:pPr>
      <w:r w:rsidRPr="00597B23">
        <w:rPr>
          <w:color w:val="000000"/>
        </w:rPr>
        <w:t xml:space="preserve">Zaradenie merateľného ukazovateľa </w:t>
      </w:r>
      <w:r w:rsidRPr="00597B23">
        <w:rPr>
          <w:b/>
          <w:bCs/>
          <w:color w:val="000000"/>
        </w:rPr>
        <w:t>CV63 Zakúpené očkovacie dávky</w:t>
      </w:r>
      <w:r w:rsidRPr="00597B23">
        <w:rPr>
          <w:color w:val="000000"/>
        </w:rPr>
        <w:t xml:space="preserve"> </w:t>
      </w:r>
      <w:r w:rsidRPr="00597B23">
        <w:rPr>
          <w:b/>
          <w:bCs/>
          <w:color w:val="000000"/>
        </w:rPr>
        <w:t>pre viac rozvinutý región</w:t>
      </w:r>
      <w:r w:rsidRPr="00597B23">
        <w:rPr>
          <w:color w:val="000000"/>
        </w:rPr>
        <w:t xml:space="preserve"> nadväzuje na revíziu IROP, verzia 9.0, ktorou bol schválený tento merateľný ukazovateľ pre menej rozvinutý región. </w:t>
      </w:r>
    </w:p>
    <w:p w14:paraId="03097170" w14:textId="77777777" w:rsidR="00597B23" w:rsidRPr="00597B23" w:rsidRDefault="00597B23" w:rsidP="0087675E">
      <w:pPr>
        <w:pStyle w:val="Zkladntext"/>
        <w:spacing w:before="120" w:after="240" w:line="276" w:lineRule="auto"/>
        <w:jc w:val="both"/>
        <w:rPr>
          <w:color w:val="000000"/>
        </w:rPr>
      </w:pPr>
      <w:r w:rsidRPr="00597B23">
        <w:rPr>
          <w:color w:val="000000"/>
        </w:rPr>
        <w:t>Aktuálne je na Slovensku plne zaočkovaných 2 766 274 osôb, z čoho v Bratislavskom kraji, ktorý predstavuje viac rozvinutý región je plne zaočkovaných 438 965 osôb. Podiel plne zaočkovaných osôb v Bratislavskom kraji dosahuje hodnotu 61 %, čím sa mierne dostal nad úroveň minimálne 60 %-</w:t>
      </w:r>
      <w:proofErr w:type="spellStart"/>
      <w:r w:rsidRPr="00597B23">
        <w:rPr>
          <w:color w:val="000000"/>
        </w:rPr>
        <w:t>ného</w:t>
      </w:r>
      <w:proofErr w:type="spellEnd"/>
      <w:r w:rsidRPr="00597B23">
        <w:rPr>
          <w:color w:val="000000"/>
        </w:rPr>
        <w:t xml:space="preserve"> potrebného zaočkovania populácie Slovenska pre zabezpečenie kolektívnej imunity. </w:t>
      </w:r>
    </w:p>
    <w:p w14:paraId="1C517E3B" w14:textId="77777777" w:rsidR="00597B23" w:rsidRPr="00597B23" w:rsidRDefault="00597B23" w:rsidP="0087675E">
      <w:pPr>
        <w:pStyle w:val="Zkladntext"/>
        <w:spacing w:before="120" w:after="240" w:line="276" w:lineRule="auto"/>
        <w:jc w:val="both"/>
        <w:rPr>
          <w:color w:val="000000"/>
        </w:rPr>
      </w:pPr>
      <w:r w:rsidRPr="00597B23">
        <w:rPr>
          <w:color w:val="000000"/>
        </w:rPr>
        <w:t>Na oprávnenosť tohto ukazovateľa pre viac rozvinutý región sa budú vzťahovať tie isté podmienky a pravidlá pre výber operácií ako je to v prípade menej rozvinutého regiónu v súlade s aktuálne platnou verziou IROP. Pre oprávnenosť musia byť splnené nasledovné podmienky:</w:t>
      </w:r>
    </w:p>
    <w:p w14:paraId="7D644BCE" w14:textId="77777777" w:rsidR="00597B23" w:rsidRPr="00597B23" w:rsidRDefault="00597B23" w:rsidP="0087675E">
      <w:pPr>
        <w:pStyle w:val="Zkladntext"/>
        <w:numPr>
          <w:ilvl w:val="0"/>
          <w:numId w:val="45"/>
        </w:numPr>
        <w:spacing w:before="120" w:after="240" w:line="276" w:lineRule="auto"/>
        <w:ind w:left="714" w:hanging="357"/>
        <w:contextualSpacing/>
        <w:jc w:val="both"/>
        <w:rPr>
          <w:color w:val="000000"/>
        </w:rPr>
      </w:pPr>
      <w:r w:rsidRPr="00597B23">
        <w:rPr>
          <w:color w:val="000000"/>
        </w:rPr>
        <w:t>obstarávanie vakcín prebehlo na úrovni EK;</w:t>
      </w:r>
    </w:p>
    <w:p w14:paraId="0BBD271C" w14:textId="77777777" w:rsidR="00597B23" w:rsidRPr="00597B23" w:rsidRDefault="00597B23" w:rsidP="0087675E">
      <w:pPr>
        <w:pStyle w:val="Zkladntext"/>
        <w:numPr>
          <w:ilvl w:val="0"/>
          <w:numId w:val="45"/>
        </w:numPr>
        <w:spacing w:before="120" w:after="240" w:line="276" w:lineRule="auto"/>
        <w:ind w:left="714" w:hanging="357"/>
        <w:contextualSpacing/>
        <w:jc w:val="both"/>
        <w:rPr>
          <w:color w:val="000000"/>
        </w:rPr>
      </w:pPr>
      <w:r w:rsidRPr="00597B23">
        <w:rPr>
          <w:color w:val="000000"/>
        </w:rPr>
        <w:t xml:space="preserve">očkovanie bude zabezpečené vakcínami schválenými Európskou liekovou agentúrou (EMA); </w:t>
      </w:r>
    </w:p>
    <w:p w14:paraId="729207A7" w14:textId="77777777" w:rsidR="00597B23" w:rsidRPr="00597B23" w:rsidRDefault="00597B23" w:rsidP="0087675E">
      <w:pPr>
        <w:pStyle w:val="Zkladntext"/>
        <w:numPr>
          <w:ilvl w:val="0"/>
          <w:numId w:val="45"/>
        </w:numPr>
        <w:spacing w:before="120" w:after="240" w:line="276" w:lineRule="auto"/>
        <w:ind w:left="714" w:hanging="357"/>
        <w:contextualSpacing/>
        <w:jc w:val="both"/>
        <w:rPr>
          <w:rFonts w:eastAsiaTheme="minorHAnsi"/>
          <w:color w:val="000000"/>
          <w:lang w:eastAsia="en-US" w:bidi="ar-SA"/>
        </w:rPr>
      </w:pPr>
      <w:r w:rsidRPr="00597B23">
        <w:rPr>
          <w:color w:val="000000"/>
        </w:rPr>
        <w:t>vakcíny budú  použité na národnej úrovni;</w:t>
      </w:r>
    </w:p>
    <w:p w14:paraId="673C917E" w14:textId="77777777" w:rsidR="00597B23" w:rsidRPr="00597B23" w:rsidRDefault="00597B23" w:rsidP="0087675E">
      <w:pPr>
        <w:pStyle w:val="Zkladntext"/>
        <w:numPr>
          <w:ilvl w:val="0"/>
          <w:numId w:val="45"/>
        </w:numPr>
        <w:spacing w:before="120" w:after="240" w:line="276" w:lineRule="auto"/>
        <w:ind w:left="714" w:hanging="357"/>
        <w:contextualSpacing/>
        <w:jc w:val="both"/>
        <w:rPr>
          <w:rFonts w:eastAsiaTheme="minorHAnsi"/>
          <w:color w:val="000000"/>
          <w:lang w:eastAsia="en-US" w:bidi="ar-SA"/>
        </w:rPr>
      </w:pPr>
      <w:r w:rsidRPr="00597B23">
        <w:rPr>
          <w:rFonts w:eastAsiaTheme="minorHAnsi"/>
          <w:color w:val="000000"/>
          <w:lang w:eastAsia="en-US" w:bidi="ar-SA"/>
        </w:rPr>
        <w:t>výkony vakcinácie pre všetkých poistencov sú hradené na základe povinného zdravotného poistenia.</w:t>
      </w:r>
    </w:p>
    <w:p w14:paraId="4EC4F122" w14:textId="77777777" w:rsidR="00597B23" w:rsidRPr="000A5DBD" w:rsidRDefault="00597B23" w:rsidP="0087675E">
      <w:pPr>
        <w:pStyle w:val="Zkladntext"/>
        <w:spacing w:after="240" w:line="276" w:lineRule="auto"/>
        <w:jc w:val="both"/>
        <w:rPr>
          <w:rFonts w:eastAsiaTheme="minorHAnsi"/>
          <w:color w:val="000000"/>
          <w:lang w:eastAsia="en-US" w:bidi="ar-SA"/>
        </w:rPr>
      </w:pPr>
    </w:p>
    <w:p w14:paraId="66737949" w14:textId="006E7D1D" w:rsidR="00591479" w:rsidRPr="00BE0357" w:rsidRDefault="00591479" w:rsidP="0087675E">
      <w:pPr>
        <w:pStyle w:val="Odsekzoznamu"/>
        <w:numPr>
          <w:ilvl w:val="0"/>
          <w:numId w:val="44"/>
        </w:numPr>
        <w:spacing w:before="240" w:after="120"/>
        <w:jc w:val="both"/>
        <w:rPr>
          <w:rFonts w:ascii="Arial" w:hAnsi="Arial" w:cs="Arial"/>
          <w:b/>
        </w:rPr>
      </w:pPr>
      <w:r w:rsidRPr="00BE0357">
        <w:rPr>
          <w:rFonts w:ascii="Arial" w:hAnsi="Arial" w:cs="Arial"/>
          <w:b/>
        </w:rPr>
        <w:t>Úprava vybraných merateľných ukazovateľov v rámci špecifick</w:t>
      </w:r>
      <w:r w:rsidR="00361F79">
        <w:rPr>
          <w:rFonts w:ascii="Arial" w:hAnsi="Arial" w:cs="Arial"/>
          <w:b/>
        </w:rPr>
        <w:t>ého</w:t>
      </w:r>
      <w:r w:rsidRPr="00BE0357">
        <w:rPr>
          <w:rFonts w:ascii="Arial" w:hAnsi="Arial" w:cs="Arial"/>
          <w:b/>
        </w:rPr>
        <w:t xml:space="preserve"> cieľ</w:t>
      </w:r>
      <w:r w:rsidR="00361F79">
        <w:rPr>
          <w:rFonts w:ascii="Arial" w:hAnsi="Arial" w:cs="Arial"/>
          <w:b/>
        </w:rPr>
        <w:t>a</w:t>
      </w:r>
      <w:r w:rsidRPr="00BE0357">
        <w:rPr>
          <w:rFonts w:ascii="Arial" w:hAnsi="Arial" w:cs="Arial"/>
          <w:b/>
        </w:rPr>
        <w:t xml:space="preserve"> 2.2.1 IROP pre viac rozvinutý región</w:t>
      </w:r>
    </w:p>
    <w:p w14:paraId="7700CD24" w14:textId="48E17D5F" w:rsidR="00591479" w:rsidRPr="00591479" w:rsidRDefault="00591479" w:rsidP="0087675E">
      <w:pPr>
        <w:spacing w:before="240" w:after="120" w:line="276" w:lineRule="auto"/>
        <w:jc w:val="both"/>
        <w:rPr>
          <w:sz w:val="22"/>
          <w:szCs w:val="22"/>
        </w:rPr>
      </w:pPr>
      <w:r w:rsidRPr="00591479">
        <w:rPr>
          <w:sz w:val="22"/>
          <w:szCs w:val="22"/>
        </w:rPr>
        <w:t>Pri výstupovom ukazovateli O0226 Počet podporených materských škôl dochádza k navýšeniu hodnoty z dôvodu navýšenia alokácie a dodatočného vyhlásenia výzvy v rámci ktorej RO pre IROP predpokladá podporenie 13 materských škôl (ďalej len „MŠ“) vo viac rozvinutom regióne. Výzva</w:t>
      </w:r>
      <w:r w:rsidR="00361F79">
        <w:rPr>
          <w:sz w:val="22"/>
          <w:szCs w:val="22"/>
        </w:rPr>
        <w:t xml:space="preserve"> </w:t>
      </w:r>
      <w:r w:rsidR="00361F79" w:rsidRPr="00361F79">
        <w:rPr>
          <w:sz w:val="22"/>
          <w:szCs w:val="22"/>
        </w:rPr>
        <w:t>na predkladanie žiadostí o nenávratný finančný príspevok na zvýšenie kapacít infraštruktúry materských škôl v Bratislavskom kraji</w:t>
      </w:r>
      <w:r w:rsidRPr="00361F79">
        <w:rPr>
          <w:sz w:val="22"/>
          <w:szCs w:val="22"/>
        </w:rPr>
        <w:t xml:space="preserve"> </w:t>
      </w:r>
      <w:r w:rsidRPr="00591479">
        <w:rPr>
          <w:sz w:val="22"/>
          <w:szCs w:val="22"/>
        </w:rPr>
        <w:t xml:space="preserve">pre ŠC 2.2.1 </w:t>
      </w:r>
      <w:r w:rsidR="00361F79" w:rsidRPr="00361F79">
        <w:rPr>
          <w:sz w:val="22"/>
          <w:szCs w:val="22"/>
        </w:rPr>
        <w:t xml:space="preserve">s označením IROP-PO2-SC221-2022-94 </w:t>
      </w:r>
      <w:r w:rsidR="00C11675">
        <w:rPr>
          <w:sz w:val="22"/>
          <w:szCs w:val="22"/>
        </w:rPr>
        <w:t>bola</w:t>
      </w:r>
      <w:r w:rsidRPr="00591479">
        <w:rPr>
          <w:sz w:val="22"/>
          <w:szCs w:val="22"/>
        </w:rPr>
        <w:t xml:space="preserve"> vyhlásená v </w:t>
      </w:r>
      <w:r w:rsidR="00C11675">
        <w:rPr>
          <w:sz w:val="22"/>
          <w:szCs w:val="22"/>
        </w:rPr>
        <w:t>marc</w:t>
      </w:r>
      <w:r w:rsidRPr="00591479">
        <w:rPr>
          <w:sz w:val="22"/>
          <w:szCs w:val="22"/>
        </w:rPr>
        <w:t xml:space="preserve">i 2022 s indikatívnou alokáciou </w:t>
      </w:r>
      <w:r w:rsidR="00C11675">
        <w:rPr>
          <w:sz w:val="22"/>
          <w:szCs w:val="22"/>
        </w:rPr>
        <w:t>12</w:t>
      </w:r>
      <w:r w:rsidRPr="00591479">
        <w:rPr>
          <w:sz w:val="22"/>
          <w:szCs w:val="22"/>
        </w:rPr>
        <w:t> mil. EUR. Ukazovateľ CO035 Kapacita podporovaných zariadení starostlivosti o deti alebo vzdelávacej infraštruktúry sa navyšuje taktiež z dôvodu navýšenia alokácie a dodatočného vyhlásenia vyššie uvedenej výzvy. Súvisiaci ukazovateľ O0253 Počet renovovaných verejných budov sa navyšuje na základe predpokladu 13 podporených MŠ.</w:t>
      </w:r>
    </w:p>
    <w:p w14:paraId="74CAE64B" w14:textId="77777777" w:rsidR="00591479" w:rsidRPr="00591479" w:rsidRDefault="00591479" w:rsidP="0087675E">
      <w:pPr>
        <w:pStyle w:val="Zkladntext"/>
        <w:spacing w:after="240" w:line="276" w:lineRule="auto"/>
        <w:jc w:val="both"/>
      </w:pPr>
      <w:r w:rsidRPr="00591479">
        <w:t xml:space="preserve">Výstupový ukazovateľ výkonnostného rámca O0171 Kapacita podporených materských škôl bude navýšený o 1700, čo predstavuje kapacitu 13 podporených MŠ. </w:t>
      </w:r>
    </w:p>
    <w:p w14:paraId="26F1D424" w14:textId="470B904E" w:rsidR="00591479" w:rsidRPr="00BE0357" w:rsidRDefault="00591479" w:rsidP="0087675E">
      <w:pPr>
        <w:pStyle w:val="Odsekzoznamu"/>
        <w:numPr>
          <w:ilvl w:val="0"/>
          <w:numId w:val="44"/>
        </w:numPr>
        <w:spacing w:before="240" w:after="120"/>
        <w:jc w:val="both"/>
        <w:rPr>
          <w:rFonts w:ascii="Arial" w:hAnsi="Arial" w:cs="Arial"/>
          <w:b/>
        </w:rPr>
      </w:pPr>
      <w:r w:rsidRPr="00BE0357">
        <w:rPr>
          <w:rFonts w:ascii="Arial" w:hAnsi="Arial" w:cs="Arial"/>
          <w:b/>
        </w:rPr>
        <w:lastRenderedPageBreak/>
        <w:t>Úprava vybraných merateľných ukazovateľov v rámci špecifického cieľa 3.1. IROP</w:t>
      </w:r>
    </w:p>
    <w:p w14:paraId="26643D86" w14:textId="77777777" w:rsidR="00591479" w:rsidRPr="00591479" w:rsidRDefault="00591479" w:rsidP="0087675E">
      <w:pPr>
        <w:pStyle w:val="Zkladntext"/>
        <w:spacing w:after="240" w:line="276" w:lineRule="auto"/>
        <w:jc w:val="both"/>
      </w:pPr>
      <w:r w:rsidRPr="00591479">
        <w:t>Pri výsledkovom ukazovateli R0189 Celkový počet pracovných miest v kultúrnom a kreatívnom priemysle dochádza k zmene zdroja dát z dôvodu, že údaje potrebné na stanovenie cieľovej hodnoty výsledkového ukazovateľa budú zisťované štatisticky a nie z projektovej úrovni prostredníctvom ITMS. Ďalšie úpravy v merateľných ukazovateľov (MU) možno zhrnúť do nasledovných bodov:</w:t>
      </w:r>
    </w:p>
    <w:p w14:paraId="007BCE43" w14:textId="77777777" w:rsidR="00591479" w:rsidRPr="00591479" w:rsidRDefault="00591479" w:rsidP="0087675E">
      <w:pPr>
        <w:pStyle w:val="Zkladntext"/>
        <w:numPr>
          <w:ilvl w:val="0"/>
          <w:numId w:val="27"/>
        </w:numPr>
        <w:spacing w:after="240" w:line="276" w:lineRule="auto"/>
        <w:ind w:left="851" w:hanging="284"/>
        <w:jc w:val="both"/>
      </w:pPr>
      <w:r w:rsidRPr="00591479">
        <w:t>Zníženie cieľových hodnôt MU v nadväznosti na zníženie alokácie vo VRR;</w:t>
      </w:r>
    </w:p>
    <w:p w14:paraId="28A493AB" w14:textId="77777777" w:rsidR="00591479" w:rsidRPr="00591479" w:rsidRDefault="00591479" w:rsidP="0087675E">
      <w:pPr>
        <w:pStyle w:val="Zkladntext"/>
        <w:numPr>
          <w:ilvl w:val="0"/>
          <w:numId w:val="27"/>
        </w:numPr>
        <w:spacing w:after="240" w:line="276" w:lineRule="auto"/>
        <w:ind w:left="851" w:hanging="284"/>
        <w:jc w:val="both"/>
      </w:pPr>
      <w:r w:rsidRPr="00591479">
        <w:t>Odstránenie chybných predpokladov pri prvotnom programovaní, ktoré nemalo historické dáta z predchádzajúcich programových období a do dnešného dňa absentovala rovnako aj implementačná prax, ktorá by poukázala na chybné predpoklady pri programovaní;</w:t>
      </w:r>
    </w:p>
    <w:p w14:paraId="4CC1CADB" w14:textId="77777777" w:rsidR="00591479" w:rsidRPr="00591479" w:rsidRDefault="00591479" w:rsidP="0087675E">
      <w:pPr>
        <w:pStyle w:val="Zkladntext"/>
        <w:numPr>
          <w:ilvl w:val="0"/>
          <w:numId w:val="27"/>
        </w:numPr>
        <w:spacing w:after="240" w:line="276" w:lineRule="auto"/>
        <w:ind w:left="851" w:hanging="284"/>
        <w:jc w:val="both"/>
      </w:pPr>
      <w:r w:rsidRPr="00591479">
        <w:t>Odstránenie chyby v logickom prepojení medzi CO01 s CO02, CO03 a CO05;</w:t>
      </w:r>
    </w:p>
    <w:p w14:paraId="419020B1" w14:textId="77777777" w:rsidR="00591479" w:rsidRPr="00591479" w:rsidRDefault="00591479" w:rsidP="0087675E">
      <w:pPr>
        <w:pStyle w:val="Zkladntext"/>
        <w:numPr>
          <w:ilvl w:val="0"/>
          <w:numId w:val="27"/>
        </w:numPr>
        <w:spacing w:after="240" w:line="276" w:lineRule="auto"/>
        <w:ind w:left="851" w:hanging="284"/>
        <w:jc w:val="both"/>
      </w:pPr>
      <w:r w:rsidRPr="00591479">
        <w:t>Odstránenie MU, ktoré sa v programe nevyužívajú a už nebudú využívať;</w:t>
      </w:r>
    </w:p>
    <w:p w14:paraId="51430276" w14:textId="77777777" w:rsidR="00591479" w:rsidRPr="00591479" w:rsidRDefault="00591479" w:rsidP="0087675E">
      <w:pPr>
        <w:pStyle w:val="Zkladntext"/>
        <w:numPr>
          <w:ilvl w:val="0"/>
          <w:numId w:val="27"/>
        </w:numPr>
        <w:spacing w:after="240" w:line="276" w:lineRule="auto"/>
        <w:ind w:left="851" w:hanging="284"/>
        <w:jc w:val="both"/>
      </w:pPr>
      <w:r w:rsidRPr="00591479">
        <w:t>Odstránenie duplicitných MU, ktorých identické hodnoty sú vykazované cez programovo-špecifické MU a zároveň cez spoločné MU výstupu (ponechané sú spoločné MU výstupu a odstránené sú programovo-špecifické MU);</w:t>
      </w:r>
    </w:p>
    <w:p w14:paraId="12C252BE" w14:textId="77777777" w:rsidR="00591479" w:rsidRPr="00591479" w:rsidRDefault="00591479" w:rsidP="0087675E">
      <w:pPr>
        <w:pStyle w:val="Zkladntext"/>
        <w:numPr>
          <w:ilvl w:val="0"/>
          <w:numId w:val="27"/>
        </w:numPr>
        <w:spacing w:after="240" w:line="276" w:lineRule="auto"/>
        <w:ind w:left="851" w:hanging="284"/>
        <w:jc w:val="both"/>
      </w:pPr>
      <w:r w:rsidRPr="00591479">
        <w:t xml:space="preserve">Odstránenie hodnôt kľúčových implementačných krokov pre roky 2023, nakoľko ich hodnoty budú identické s hodnotami tých MU výkonnostného rámca, na ktoré boli previazané (K0011 </w:t>
      </w:r>
      <w:proofErr w:type="spellStart"/>
      <w:r w:rsidRPr="00591479">
        <w:t>vs</w:t>
      </w:r>
      <w:proofErr w:type="spellEnd"/>
      <w:r w:rsidRPr="00591479">
        <w:t xml:space="preserve"> O0151 a to tak pre VRR ako aj MRR).</w:t>
      </w:r>
    </w:p>
    <w:p w14:paraId="43ED0FC0" w14:textId="77777777" w:rsidR="00591479" w:rsidRPr="00591479" w:rsidRDefault="00591479" w:rsidP="0087675E">
      <w:pPr>
        <w:pStyle w:val="Odsekzoznamu"/>
        <w:numPr>
          <w:ilvl w:val="0"/>
          <w:numId w:val="44"/>
        </w:numPr>
        <w:spacing w:before="240" w:after="120"/>
        <w:contextualSpacing w:val="0"/>
        <w:jc w:val="both"/>
        <w:rPr>
          <w:rFonts w:ascii="Arial" w:hAnsi="Arial" w:cs="Arial"/>
          <w:b/>
        </w:rPr>
      </w:pPr>
      <w:r w:rsidRPr="00591479">
        <w:rPr>
          <w:rFonts w:ascii="Arial" w:hAnsi="Arial" w:cs="Arial"/>
          <w:b/>
        </w:rPr>
        <w:t>Úprava merateľných ukazovateľov výstupu v rámci špecifického cieľa 4.1. IROP</w:t>
      </w:r>
    </w:p>
    <w:p w14:paraId="78821296" w14:textId="77777777" w:rsidR="00591479" w:rsidRPr="00591479" w:rsidRDefault="00591479" w:rsidP="0087675E">
      <w:pPr>
        <w:pStyle w:val="Zkladntext"/>
        <w:spacing w:after="240" w:line="276" w:lineRule="auto"/>
        <w:jc w:val="both"/>
        <w:rPr>
          <w:rFonts w:eastAsiaTheme="minorHAnsi"/>
          <w:lang w:eastAsia="en-US" w:bidi="ar-SA"/>
        </w:rPr>
      </w:pPr>
      <w:r w:rsidRPr="00591479">
        <w:rPr>
          <w:rFonts w:eastAsiaTheme="minorHAnsi"/>
          <w:lang w:eastAsia="en-US" w:bidi="ar-SA"/>
        </w:rPr>
        <w:t>RO pre IROP pristúpil k úprave hodnôt merateľných ukazovateľov z dôvodu ich ambiciózneho nastavenia počas prípravy operačného programu.</w:t>
      </w:r>
    </w:p>
    <w:p w14:paraId="4D57A095" w14:textId="77777777" w:rsidR="00591479" w:rsidRPr="00591479" w:rsidRDefault="00591479" w:rsidP="0087675E">
      <w:pPr>
        <w:pStyle w:val="Zkladntext"/>
        <w:spacing w:after="240" w:line="276" w:lineRule="auto"/>
        <w:jc w:val="both"/>
        <w:rPr>
          <w:rFonts w:eastAsiaTheme="minorHAnsi"/>
          <w:lang w:eastAsia="en-US" w:bidi="ar-SA"/>
        </w:rPr>
      </w:pPr>
      <w:r w:rsidRPr="00591479">
        <w:rPr>
          <w:rFonts w:eastAsiaTheme="minorHAnsi"/>
          <w:lang w:eastAsia="en-US" w:bidi="ar-SA"/>
        </w:rPr>
        <w:t>Vzniknutý dopyt v rámci podpory Štátneho fondu rozvoja bývania ukázal, že stanovené hodnoty ukazovateľov boli značne nadhodnotené. Vo februári 2021 bola aktualizovaná metodika pre potreby REACT, ktorá sa snaží akceptovať zmeny na trhu aj viaceré technické parametre stavieb, ktoré v súčasnosti vstupujú do projektov. Po vyhodnotení skutočne dosahovaných výsledkov za obdobie 2018-2020 sa metodika ukazuje realistická aj za dnešných podmienok a reprezentuje konzervatívny prístup. Zmena v cieľových hodnotách je u niektorých ukazovateľov značná, ale je vypočítaná v súlade s aktualizovanou (jednotnou) metodikou.</w:t>
      </w:r>
    </w:p>
    <w:p w14:paraId="7AED10C1" w14:textId="77777777" w:rsidR="00591479" w:rsidRPr="00591479" w:rsidRDefault="00591479" w:rsidP="0087675E">
      <w:pPr>
        <w:pStyle w:val="Zkladntext"/>
        <w:spacing w:after="240" w:line="276" w:lineRule="auto"/>
        <w:jc w:val="both"/>
        <w:rPr>
          <w:rFonts w:eastAsiaTheme="minorHAnsi"/>
          <w:color w:val="000000"/>
          <w:lang w:eastAsia="en-US" w:bidi="ar-SA"/>
        </w:rPr>
      </w:pPr>
      <w:r w:rsidRPr="00591479">
        <w:rPr>
          <w:rFonts w:eastAsiaTheme="minorHAnsi"/>
          <w:color w:val="000000"/>
          <w:lang w:eastAsia="en-US" w:bidi="ar-SA"/>
        </w:rPr>
        <w:t>V súvislosti s ochorením COVID-19, jeho epidemiologickým vývojom a dopadmi na hospodárstvo, nastal nepriaznivý vývoj cien v stavebníctve (napr. stavebný materiál, nutnosť náhrad materiálu kvôli jeho horšej časovej dostupnosti aj za cenu vyššej ceny a pod.), ako aj oneskorenie realizácie aktivít projektov, napr. oneskorenie administrácie stavebnými úradmi a realizácie stavebných prác.</w:t>
      </w:r>
    </w:p>
    <w:p w14:paraId="295637BB" w14:textId="77777777" w:rsidR="00591479" w:rsidRPr="00591479" w:rsidRDefault="00591479" w:rsidP="0087675E">
      <w:pPr>
        <w:pStyle w:val="Zkladntext"/>
        <w:spacing w:after="240" w:line="276" w:lineRule="auto"/>
        <w:jc w:val="both"/>
        <w:rPr>
          <w:rFonts w:eastAsiaTheme="minorHAnsi"/>
          <w:color w:val="000000"/>
          <w:lang w:eastAsia="en-US" w:bidi="ar-SA"/>
        </w:rPr>
      </w:pPr>
      <w:r w:rsidRPr="00591479">
        <w:rPr>
          <w:rFonts w:eastAsiaTheme="minorHAnsi"/>
          <w:color w:val="000000"/>
          <w:lang w:eastAsia="en-US" w:bidi="ar-SA"/>
        </w:rPr>
        <w:t>Na jednej strane to povedie k menšiemu počtu realizovaných projektov z časového dôvodu ako sa pôvodne predpokladalo. Na druhej strane stúpajú náklady na projekty, čo je ťažké predvídať už aj v horizonte do 31.12.2023.</w:t>
      </w:r>
    </w:p>
    <w:p w14:paraId="2D333D92" w14:textId="538BC64D" w:rsidR="00591479" w:rsidRPr="00591479" w:rsidRDefault="00591479" w:rsidP="0087675E">
      <w:pPr>
        <w:pStyle w:val="Zkladntext"/>
        <w:spacing w:after="240" w:line="276" w:lineRule="auto"/>
        <w:jc w:val="both"/>
        <w:rPr>
          <w:rFonts w:eastAsiaTheme="minorHAnsi"/>
          <w:color w:val="000000"/>
          <w:lang w:eastAsia="en-US" w:bidi="ar-SA"/>
        </w:rPr>
      </w:pPr>
      <w:r w:rsidRPr="00591479">
        <w:rPr>
          <w:rFonts w:eastAsiaTheme="minorHAnsi"/>
          <w:color w:val="000000"/>
          <w:lang w:eastAsia="en-US" w:bidi="ar-SA"/>
        </w:rPr>
        <w:t xml:space="preserve">Pri určovaní počtu obnovených domácností v čase prípravy sa počítali ciele z priemerných nákladovostí projektov obnovy bytových domov bez takejto cenovej dynamiky. Celkový obnos finančných prostriedkov plánovaných na obnovu prostredníctvom ŠFRB sa už uzatvoril a je taktiež nižší ako bol predpokladaný pri postupnej tvorbe merateľných ukazovateľov v predošlých obdobiach (IROP I +IROP II). Je preto potrebné plánovať s menším počtom obnovených domácností. Najväčší </w:t>
      </w:r>
      <w:r w:rsidRPr="00591479">
        <w:rPr>
          <w:rFonts w:eastAsiaTheme="minorHAnsi"/>
          <w:color w:val="000000"/>
          <w:lang w:eastAsia="en-US" w:bidi="ar-SA"/>
        </w:rPr>
        <w:lastRenderedPageBreak/>
        <w:t>rozdiel sa ukazuje v prípade počtu domácností z VRR, kde doterajšia prax čerpania potvrdzuje pomer cca 1/10 so zvyškom územia v MRR. V takom prípade bol cieľ pre VRR značne nadhodnotený a z dnešného pohľadu pomer</w:t>
      </w:r>
      <w:r w:rsidR="00377D51">
        <w:rPr>
          <w:rFonts w:eastAsiaTheme="minorHAnsi"/>
          <w:color w:val="000000"/>
          <w:lang w:eastAsia="en-US" w:bidi="ar-SA"/>
        </w:rPr>
        <w:t xml:space="preserve">  cca 1/3 je už nereálny. </w:t>
      </w:r>
    </w:p>
    <w:p w14:paraId="70561B4F" w14:textId="0654E60D" w:rsidR="00591479" w:rsidRPr="00591479" w:rsidRDefault="00591479" w:rsidP="0087675E">
      <w:pPr>
        <w:pStyle w:val="Zkladntext"/>
        <w:spacing w:after="240" w:line="276" w:lineRule="auto"/>
        <w:jc w:val="both"/>
        <w:rPr>
          <w:rFonts w:eastAsiaTheme="minorHAnsi"/>
          <w:lang w:eastAsia="en-US" w:bidi="ar-SA"/>
        </w:rPr>
      </w:pPr>
      <w:r w:rsidRPr="00591479">
        <w:rPr>
          <w:rFonts w:eastAsiaTheme="minorHAnsi"/>
          <w:color w:val="000000"/>
          <w:lang w:eastAsia="en-US" w:bidi="ar-SA"/>
        </w:rPr>
        <w:t>Pri určovaní prínosu projektov v úspore v tonách CO</w:t>
      </w:r>
      <w:r w:rsidRPr="00591479">
        <w:rPr>
          <w:rFonts w:eastAsiaTheme="minorHAnsi"/>
          <w:color w:val="000000"/>
          <w:vertAlign w:val="subscript"/>
          <w:lang w:eastAsia="en-US" w:bidi="ar-SA"/>
        </w:rPr>
        <w:t>2</w:t>
      </w:r>
      <w:r w:rsidRPr="00591479">
        <w:rPr>
          <w:rFonts w:eastAsiaTheme="minorHAnsi"/>
          <w:color w:val="000000"/>
          <w:lang w:eastAsia="en-US" w:bidi="ar-SA"/>
        </w:rPr>
        <w:t xml:space="preserve"> je veľmi dôležitý počiatočný stav bytového domu. Pokiaľ v čase prípravy pôvodných cieľových hodnôt sa predpokladali domy cca v triede D a horšej, dnes  takýchto domov na trhu významne odbudlo (už sa mnohé zateplili)  a žiadatelia pristupujú k obnove už aj v tepelne lepších bytových domov, napr. spadajúcich do triedy C. Obnova aj takýchto domov je žiadúca a nie je dôvod ich diskriminovať pri žiadosti o úver. V dôsledku toho však dochádza k zníženiu dosahovanej úspory emisií CO</w:t>
      </w:r>
      <w:r w:rsidRPr="00591479">
        <w:rPr>
          <w:rFonts w:eastAsiaTheme="minorHAnsi"/>
          <w:color w:val="000000"/>
          <w:vertAlign w:val="subscript"/>
          <w:lang w:eastAsia="en-US" w:bidi="ar-SA"/>
        </w:rPr>
        <w:t>2</w:t>
      </w:r>
      <w:r w:rsidRPr="00591479">
        <w:rPr>
          <w:rFonts w:eastAsiaTheme="minorHAnsi"/>
          <w:color w:val="000000"/>
          <w:lang w:eastAsia="en-US" w:bidi="ar-SA"/>
        </w:rPr>
        <w:t xml:space="preserve"> po obnove oproti stavu pred obnovou, aj keď samotná obnova sa vykoná rovnako kvalitne. Úspora emisií sa stáva teda finančne drahšou. Pre dosiahnutie jej pôvodného cieľa by sa teda opačne musel navýšiť počet podporených domácností, čo nebude možné z časového hľadiska ako aj za zostávajúce finančné zdroje na ich podporu. </w:t>
      </w:r>
    </w:p>
    <w:p w14:paraId="32628C47" w14:textId="19C23197" w:rsidR="00591479" w:rsidRPr="00591479" w:rsidRDefault="00591479" w:rsidP="0087675E">
      <w:pPr>
        <w:pStyle w:val="Odsekzoznamu"/>
        <w:numPr>
          <w:ilvl w:val="0"/>
          <w:numId w:val="44"/>
        </w:numPr>
        <w:spacing w:before="240" w:after="120"/>
        <w:contextualSpacing w:val="0"/>
        <w:jc w:val="both"/>
        <w:rPr>
          <w:rFonts w:ascii="Arial" w:hAnsi="Arial" w:cs="Arial"/>
          <w:b/>
        </w:rPr>
      </w:pPr>
      <w:r w:rsidRPr="00591479">
        <w:rPr>
          <w:rFonts w:ascii="Arial" w:hAnsi="Arial" w:cs="Arial"/>
          <w:b/>
        </w:rPr>
        <w:t>Úprava vybraných merateľných ukazovateľov v rámci špecifick</w:t>
      </w:r>
      <w:r w:rsidR="00361F79">
        <w:rPr>
          <w:rFonts w:ascii="Arial" w:hAnsi="Arial" w:cs="Arial"/>
          <w:b/>
        </w:rPr>
        <w:t>ého</w:t>
      </w:r>
      <w:r w:rsidRPr="00591479">
        <w:rPr>
          <w:rFonts w:ascii="Arial" w:hAnsi="Arial" w:cs="Arial"/>
          <w:b/>
        </w:rPr>
        <w:t xml:space="preserve"> cieľ</w:t>
      </w:r>
      <w:r w:rsidR="00361F79">
        <w:rPr>
          <w:rFonts w:ascii="Arial" w:hAnsi="Arial" w:cs="Arial"/>
          <w:b/>
        </w:rPr>
        <w:t>a</w:t>
      </w:r>
      <w:r w:rsidRPr="00591479">
        <w:rPr>
          <w:rFonts w:ascii="Arial" w:hAnsi="Arial" w:cs="Arial"/>
          <w:b/>
        </w:rPr>
        <w:t xml:space="preserve"> 5.1.1. IROP</w:t>
      </w:r>
    </w:p>
    <w:p w14:paraId="09AC4CE6" w14:textId="77777777" w:rsidR="00591479" w:rsidRPr="00591479" w:rsidRDefault="00591479" w:rsidP="0087675E">
      <w:pPr>
        <w:pStyle w:val="Odsekzoznamu"/>
        <w:ind w:left="0"/>
        <w:jc w:val="both"/>
        <w:rPr>
          <w:rFonts w:ascii="Arial" w:hAnsi="Arial" w:cs="Arial"/>
        </w:rPr>
      </w:pPr>
      <w:r w:rsidRPr="00591479">
        <w:rPr>
          <w:rFonts w:ascii="Arial" w:hAnsi="Arial" w:cs="Arial"/>
        </w:rPr>
        <w:t>RO pre IROP počas implementácie nástroja CLLD identifikoval niektoré hodnoty výstupových ukazovateľov, ktoré je potrebné upraviť v nadväznosti aktuálnu situáciu spôsobenú COVID-19 najmä vo vidieckych územiach v oblasti zamestnanosti. Väčšina MAS hlási vážne problémy zo strany podnikateľov o zapojenie sa do vyhlásených výziev a to z dôvodu, že sú prísne nastavené podmienky vzniku pracovných miest. Každý projekt musí generovať nejaké pracovné miesto a to za relatívne nízky objem peňazí. RO pre IROP sa snaží ako jeden z nástrojov na oživenie regiónov a podporu podnikateľského prostredia zmierniť tieto požiadavky a to tak, aby boli žiadatelia motivovaní zapájať sa do predmetných výziev. Pri ukazovateli CO28 dôvodom na zníženie hodnoty je fakt, že vytvoriť nový výrobok na trhu v Bratislavskom kraji je v súčasnej dobe takmer nerealizovateľné a to aj vzhľadom na výšku podpory, ktorá môže byť na 1 projekt maximálne 100 000 Eur NFP.</w:t>
      </w:r>
    </w:p>
    <w:p w14:paraId="320EC383" w14:textId="77777777" w:rsidR="00591479" w:rsidRPr="00377D51" w:rsidRDefault="00591479" w:rsidP="0087675E">
      <w:pPr>
        <w:pStyle w:val="Zkladntext"/>
        <w:spacing w:after="240" w:line="276" w:lineRule="auto"/>
        <w:jc w:val="both"/>
        <w:rPr>
          <w:rFonts w:eastAsia="Trebuchet MS"/>
          <w:lang w:eastAsia="en-US" w:bidi="ar-SA"/>
        </w:rPr>
      </w:pPr>
      <w:r w:rsidRPr="00377D51">
        <w:rPr>
          <w:rFonts w:eastAsia="Trebuchet MS"/>
          <w:lang w:eastAsia="en-US" w:bidi="ar-SA"/>
        </w:rPr>
        <w:t xml:space="preserve">RO pre IROP pristúpil aj k zníženiu celkovej alokácie PO 5 a to z dôvodu, že v prípade VRR boli </w:t>
      </w:r>
      <w:proofErr w:type="spellStart"/>
      <w:r w:rsidRPr="00377D51">
        <w:rPr>
          <w:rFonts w:eastAsia="Trebuchet MS"/>
          <w:lang w:eastAsia="en-US" w:bidi="ar-SA"/>
        </w:rPr>
        <w:t>zazmluvnené</w:t>
      </w:r>
      <w:proofErr w:type="spellEnd"/>
      <w:r w:rsidRPr="00377D51">
        <w:rPr>
          <w:rFonts w:eastAsia="Trebuchet MS"/>
          <w:lang w:eastAsia="en-US" w:bidi="ar-SA"/>
        </w:rPr>
        <w:t xml:space="preserve"> všetky zdroje, ktoré na VRR pripadajú z rozhodnutia PPA o základnej alokácii. Vzhľadom k rozpadu MAS </w:t>
      </w:r>
      <w:proofErr w:type="spellStart"/>
      <w:r w:rsidRPr="00377D51">
        <w:rPr>
          <w:rFonts w:eastAsia="Trebuchet MS"/>
          <w:lang w:eastAsia="en-US" w:bidi="ar-SA"/>
        </w:rPr>
        <w:t>Malodunajsko</w:t>
      </w:r>
      <w:proofErr w:type="spellEnd"/>
      <w:r w:rsidRPr="00377D51">
        <w:rPr>
          <w:rFonts w:eastAsia="Trebuchet MS"/>
          <w:lang w:eastAsia="en-US" w:bidi="ar-SA"/>
        </w:rPr>
        <w:t xml:space="preserve"> došlo k úspore finančných prostriedkov. V prípade MRR došlo k výpočtu maximálnej možnej sumy </w:t>
      </w:r>
      <w:proofErr w:type="spellStart"/>
      <w:r w:rsidRPr="00377D51">
        <w:rPr>
          <w:rFonts w:eastAsia="Trebuchet MS"/>
          <w:lang w:eastAsia="en-US" w:bidi="ar-SA"/>
        </w:rPr>
        <w:t>zazmluvnenia</w:t>
      </w:r>
      <w:proofErr w:type="spellEnd"/>
      <w:r w:rsidRPr="00377D51">
        <w:rPr>
          <w:rFonts w:eastAsia="Trebuchet MS"/>
          <w:lang w:eastAsia="en-US" w:bidi="ar-SA"/>
        </w:rPr>
        <w:t xml:space="preserve"> MAS vyplývajúcej z rozhodnutia PPA, nakoľko ešte dve MAS si nepožiadali o Chod MAS 2. Úspora nastala vďaka tomu, že došlo k neschváleniu niektorých MAS a rozpadu MAS Horná Nitra a MAS Domaša.</w:t>
      </w:r>
    </w:p>
    <w:p w14:paraId="7B924EC5" w14:textId="77777777" w:rsidR="00377D51" w:rsidRDefault="00377D51" w:rsidP="004414E7">
      <w:pPr>
        <w:pStyle w:val="Default"/>
        <w:jc w:val="both"/>
        <w:rPr>
          <w:rFonts w:ascii="Arial" w:eastAsia="Trebuchet MS" w:hAnsi="Arial" w:cs="Arial"/>
          <w:color w:val="auto"/>
          <w:sz w:val="22"/>
          <w:szCs w:val="22"/>
        </w:rPr>
        <w:sectPr w:rsidR="00377D51" w:rsidSect="00094181">
          <w:footerReference w:type="default" r:id="rId13"/>
          <w:pgSz w:w="11906" w:h="16838"/>
          <w:pgMar w:top="1276" w:right="992" w:bottom="1134" w:left="1247" w:header="709" w:footer="544" w:gutter="0"/>
          <w:cols w:space="708"/>
          <w:docGrid w:linePitch="360"/>
        </w:sectPr>
      </w:pPr>
    </w:p>
    <w:p w14:paraId="39DD5899" w14:textId="32C295D0" w:rsidR="00377D51" w:rsidRPr="00531545" w:rsidRDefault="00377D51" w:rsidP="00377D51">
      <w:pPr>
        <w:spacing w:before="80" w:after="80" w:line="245" w:lineRule="auto"/>
        <w:jc w:val="both"/>
        <w:rPr>
          <w:rFonts w:ascii="Arial Narrow" w:hAnsi="Arial Narrow"/>
          <w:b/>
          <w:color w:val="000000"/>
        </w:rPr>
      </w:pPr>
      <w:r w:rsidRPr="00531545">
        <w:rPr>
          <w:rFonts w:ascii="Arial Narrow" w:hAnsi="Arial Narrow"/>
          <w:b/>
          <w:color w:val="000000"/>
        </w:rPr>
        <w:lastRenderedPageBreak/>
        <w:t>Tabuľka č. 1. Prehľad</w:t>
      </w:r>
      <w:r>
        <w:rPr>
          <w:rFonts w:ascii="Arial Narrow" w:hAnsi="Arial Narrow"/>
          <w:b/>
          <w:color w:val="000000"/>
        </w:rPr>
        <w:t xml:space="preserve"> vybraných</w:t>
      </w:r>
      <w:r w:rsidRPr="00531545">
        <w:rPr>
          <w:rFonts w:ascii="Arial Narrow" w:hAnsi="Arial Narrow"/>
          <w:b/>
          <w:color w:val="000000"/>
        </w:rPr>
        <w:t xml:space="preserve"> </w:t>
      </w:r>
      <w:r>
        <w:rPr>
          <w:rFonts w:ascii="Arial Narrow" w:hAnsi="Arial Narrow"/>
          <w:b/>
          <w:color w:val="000000"/>
        </w:rPr>
        <w:t xml:space="preserve">výstupových </w:t>
      </w:r>
      <w:r w:rsidRPr="00531545">
        <w:rPr>
          <w:rFonts w:ascii="Arial Narrow" w:hAnsi="Arial Narrow"/>
          <w:b/>
          <w:color w:val="000000"/>
        </w:rPr>
        <w:t>ukazovateľov</w:t>
      </w:r>
      <w:r>
        <w:rPr>
          <w:rFonts w:ascii="Arial Narrow" w:hAnsi="Arial Narrow"/>
          <w:b/>
          <w:color w:val="000000"/>
        </w:rPr>
        <w:t>,</w:t>
      </w:r>
      <w:r w:rsidRPr="00531545">
        <w:rPr>
          <w:rFonts w:ascii="Arial Narrow" w:hAnsi="Arial Narrow"/>
          <w:b/>
          <w:color w:val="000000"/>
        </w:rPr>
        <w:t xml:space="preserve"> pri ktorých dochádza k</w:t>
      </w:r>
      <w:r w:rsidR="00361F79">
        <w:rPr>
          <w:rFonts w:ascii="Arial Narrow" w:hAnsi="Arial Narrow"/>
          <w:b/>
          <w:color w:val="000000"/>
        </w:rPr>
        <w:t> </w:t>
      </w:r>
      <w:r w:rsidRPr="00531545">
        <w:rPr>
          <w:rFonts w:ascii="Arial Narrow" w:hAnsi="Arial Narrow"/>
          <w:b/>
          <w:color w:val="000000"/>
        </w:rPr>
        <w:t>zmene</w:t>
      </w:r>
      <w:r w:rsidR="00361F79">
        <w:rPr>
          <w:rFonts w:ascii="Arial Narrow" w:hAnsi="Arial Narrow"/>
          <w:b/>
          <w:color w:val="000000"/>
        </w:rPr>
        <w:t xml:space="preserve"> a doplneniu</w:t>
      </w:r>
      <w:r w:rsidRPr="00531545">
        <w:rPr>
          <w:rFonts w:ascii="Arial Narrow" w:hAnsi="Arial Narrow"/>
          <w:b/>
          <w:color w:val="000000"/>
        </w:rPr>
        <w:t xml:space="preserve"> cieľových hodnôt</w:t>
      </w:r>
    </w:p>
    <w:p w14:paraId="01B986A8" w14:textId="77777777" w:rsidR="000A5DBD" w:rsidRDefault="000A5DBD" w:rsidP="00377D51">
      <w:pPr>
        <w:spacing w:before="80" w:after="80" w:line="245" w:lineRule="auto"/>
        <w:jc w:val="both"/>
        <w:rPr>
          <w:rFonts w:ascii="Arial Narrow" w:hAnsi="Arial Narrow"/>
          <w:color w:val="000000"/>
        </w:rPr>
      </w:pPr>
    </w:p>
    <w:p w14:paraId="2E373659" w14:textId="77777777" w:rsidR="000A5DBD" w:rsidRPr="00531545" w:rsidRDefault="000A5DBD" w:rsidP="000A5DBD">
      <w:pPr>
        <w:spacing w:before="80" w:after="80" w:line="245" w:lineRule="auto"/>
        <w:jc w:val="both"/>
        <w:rPr>
          <w:rFonts w:ascii="Arial Narrow" w:hAnsi="Arial Narrow"/>
          <w:color w:val="000000"/>
        </w:rPr>
      </w:pPr>
      <w:r w:rsidRPr="00531545">
        <w:rPr>
          <w:rFonts w:ascii="Arial Narrow" w:hAnsi="Arial Narrow"/>
          <w:color w:val="000000"/>
        </w:rPr>
        <w:t xml:space="preserve">Špecifický cieľ 2.1.4.: </w:t>
      </w:r>
      <w:r w:rsidRPr="00531545">
        <w:rPr>
          <w:rFonts w:ascii="Arial Narrow" w:hAnsi="Arial Narrow"/>
          <w:iCs/>
          <w:color w:val="000000"/>
        </w:rPr>
        <w:t>Posilnenie kapacít v zdravotníckom systéme a ochrana verejného zdravia ako reakcia na pandémiu COVID-19</w:t>
      </w:r>
    </w:p>
    <w:tbl>
      <w:tblPr>
        <w:tblW w:w="14874"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57" w:type="dxa"/>
        </w:tblCellMar>
        <w:tblLook w:val="04A0" w:firstRow="1" w:lastRow="0" w:firstColumn="1" w:lastColumn="0" w:noHBand="0" w:noVBand="1"/>
      </w:tblPr>
      <w:tblGrid>
        <w:gridCol w:w="699"/>
        <w:gridCol w:w="1910"/>
        <w:gridCol w:w="783"/>
        <w:gridCol w:w="567"/>
        <w:gridCol w:w="993"/>
        <w:gridCol w:w="708"/>
        <w:gridCol w:w="918"/>
        <w:gridCol w:w="1209"/>
        <w:gridCol w:w="567"/>
        <w:gridCol w:w="775"/>
        <w:gridCol w:w="5745"/>
      </w:tblGrid>
      <w:tr w:rsidR="000A5DBD" w:rsidRPr="00531545" w14:paraId="0BF50717" w14:textId="77777777" w:rsidTr="00597B23">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172CBC57" w14:textId="77777777" w:rsidR="000A5DBD" w:rsidRPr="00531545" w:rsidRDefault="000A5DBD" w:rsidP="00597B23">
            <w:pPr>
              <w:jc w:val="center"/>
              <w:rPr>
                <w:b/>
                <w:bCs/>
                <w:sz w:val="16"/>
                <w:szCs w:val="16"/>
              </w:rPr>
            </w:pPr>
            <w:r w:rsidRPr="00531545">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2A421E70" w14:textId="77777777" w:rsidR="000A5DBD" w:rsidRPr="00531545" w:rsidRDefault="000A5DBD" w:rsidP="00597B23">
            <w:pPr>
              <w:jc w:val="center"/>
              <w:rPr>
                <w:b/>
                <w:bCs/>
                <w:sz w:val="16"/>
                <w:szCs w:val="16"/>
              </w:rPr>
            </w:pPr>
            <w:r w:rsidRPr="00531545">
              <w:rPr>
                <w:b/>
                <w:bCs/>
                <w:sz w:val="16"/>
                <w:szCs w:val="16"/>
              </w:rPr>
              <w:t>Ukazovateľ</w:t>
            </w:r>
          </w:p>
        </w:tc>
        <w:tc>
          <w:tcPr>
            <w:tcW w:w="783" w:type="dxa"/>
            <w:vMerge w:val="restart"/>
            <w:tcBorders>
              <w:top w:val="single" w:sz="8" w:space="0" w:color="4E67C8"/>
              <w:left w:val="single" w:sz="8" w:space="0" w:color="4E67C8"/>
              <w:right w:val="single" w:sz="8" w:space="0" w:color="4E67C8"/>
            </w:tcBorders>
            <w:shd w:val="clear" w:color="auto" w:fill="auto"/>
            <w:vAlign w:val="center"/>
          </w:tcPr>
          <w:p w14:paraId="45967771" w14:textId="77777777" w:rsidR="000A5DBD" w:rsidRPr="00531545" w:rsidRDefault="000A5DBD" w:rsidP="00597B23">
            <w:pPr>
              <w:jc w:val="center"/>
              <w:rPr>
                <w:b/>
                <w:bCs/>
                <w:sz w:val="16"/>
                <w:szCs w:val="16"/>
              </w:rPr>
            </w:pPr>
            <w:r w:rsidRPr="00531545">
              <w:rPr>
                <w:b/>
                <w:bCs/>
                <w:sz w:val="16"/>
                <w:szCs w:val="16"/>
              </w:rPr>
              <w:t>Merná jednotka</w:t>
            </w:r>
          </w:p>
        </w:tc>
        <w:tc>
          <w:tcPr>
            <w:tcW w:w="567" w:type="dxa"/>
            <w:vMerge w:val="restart"/>
            <w:tcBorders>
              <w:top w:val="single" w:sz="8" w:space="0" w:color="4E67C8"/>
              <w:left w:val="single" w:sz="8" w:space="0" w:color="4E67C8"/>
              <w:right w:val="single" w:sz="8" w:space="0" w:color="4E67C8"/>
            </w:tcBorders>
            <w:shd w:val="clear" w:color="auto" w:fill="auto"/>
            <w:vAlign w:val="center"/>
          </w:tcPr>
          <w:p w14:paraId="38711234" w14:textId="77777777" w:rsidR="000A5DBD" w:rsidRPr="00531545" w:rsidRDefault="000A5DBD" w:rsidP="00597B23">
            <w:pPr>
              <w:jc w:val="center"/>
              <w:rPr>
                <w:b/>
                <w:bCs/>
                <w:sz w:val="16"/>
                <w:szCs w:val="16"/>
              </w:rPr>
            </w:pPr>
            <w:r w:rsidRPr="00531545">
              <w:rPr>
                <w:b/>
                <w:bCs/>
                <w:sz w:val="16"/>
                <w:szCs w:val="16"/>
              </w:rPr>
              <w:t>Fond</w:t>
            </w:r>
          </w:p>
        </w:tc>
        <w:tc>
          <w:tcPr>
            <w:tcW w:w="993" w:type="dxa"/>
            <w:vMerge w:val="restart"/>
            <w:tcBorders>
              <w:top w:val="single" w:sz="8" w:space="0" w:color="4E67C8"/>
              <w:left w:val="single" w:sz="8" w:space="0" w:color="4E67C8"/>
              <w:right w:val="single" w:sz="8" w:space="0" w:color="4E67C8"/>
            </w:tcBorders>
            <w:shd w:val="clear" w:color="auto" w:fill="auto"/>
            <w:vAlign w:val="center"/>
          </w:tcPr>
          <w:p w14:paraId="64D41ACC" w14:textId="77777777" w:rsidR="000A5DBD" w:rsidRPr="00531545" w:rsidRDefault="000A5DBD" w:rsidP="00597B23">
            <w:pPr>
              <w:jc w:val="center"/>
              <w:rPr>
                <w:b/>
                <w:bCs/>
                <w:sz w:val="16"/>
                <w:szCs w:val="16"/>
              </w:rPr>
            </w:pPr>
            <w:r w:rsidRPr="00531545">
              <w:rPr>
                <w:b/>
                <w:bCs/>
                <w:sz w:val="16"/>
                <w:szCs w:val="16"/>
              </w:rPr>
              <w:t>Kategória regiónu</w:t>
            </w:r>
          </w:p>
        </w:tc>
        <w:tc>
          <w:tcPr>
            <w:tcW w:w="2835"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3814F002" w14:textId="77777777" w:rsidR="000A5DBD" w:rsidRPr="00531545" w:rsidRDefault="000A5DBD" w:rsidP="00597B23">
            <w:pPr>
              <w:jc w:val="center"/>
              <w:rPr>
                <w:b/>
                <w:bCs/>
                <w:sz w:val="16"/>
                <w:szCs w:val="16"/>
              </w:rPr>
            </w:pPr>
            <w:r w:rsidRPr="00531545">
              <w:rPr>
                <w:b/>
                <w:bCs/>
                <w:sz w:val="16"/>
                <w:szCs w:val="16"/>
              </w:rPr>
              <w:t>Cieľová hodnota (2022)</w:t>
            </w:r>
          </w:p>
        </w:tc>
        <w:tc>
          <w:tcPr>
            <w:tcW w:w="567" w:type="dxa"/>
            <w:vMerge w:val="restart"/>
            <w:tcBorders>
              <w:top w:val="single" w:sz="8" w:space="0" w:color="4E67C8"/>
              <w:left w:val="single" w:sz="8" w:space="0" w:color="4E67C8"/>
              <w:right w:val="single" w:sz="8" w:space="0" w:color="4E67C8"/>
            </w:tcBorders>
            <w:shd w:val="clear" w:color="auto" w:fill="auto"/>
            <w:vAlign w:val="center"/>
          </w:tcPr>
          <w:p w14:paraId="164845C9" w14:textId="77777777" w:rsidR="000A5DBD" w:rsidRPr="00531545" w:rsidRDefault="000A5DBD" w:rsidP="00597B23">
            <w:pPr>
              <w:jc w:val="center"/>
              <w:rPr>
                <w:b/>
                <w:bCs/>
                <w:sz w:val="16"/>
                <w:szCs w:val="16"/>
              </w:rPr>
            </w:pPr>
            <w:r w:rsidRPr="00531545">
              <w:rPr>
                <w:b/>
                <w:bCs/>
                <w:sz w:val="16"/>
                <w:szCs w:val="16"/>
              </w:rPr>
              <w:t>Zdroj dát</w:t>
            </w:r>
          </w:p>
        </w:tc>
        <w:tc>
          <w:tcPr>
            <w:tcW w:w="775" w:type="dxa"/>
            <w:vMerge w:val="restart"/>
            <w:tcBorders>
              <w:top w:val="single" w:sz="8" w:space="0" w:color="4E67C8"/>
              <w:left w:val="single" w:sz="8" w:space="0" w:color="4E67C8"/>
              <w:right w:val="single" w:sz="8" w:space="0" w:color="4E67C8"/>
            </w:tcBorders>
            <w:vAlign w:val="center"/>
          </w:tcPr>
          <w:p w14:paraId="6DA9E750" w14:textId="77777777" w:rsidR="000A5DBD" w:rsidRPr="00531545" w:rsidRDefault="000A5DBD" w:rsidP="00597B23">
            <w:pPr>
              <w:jc w:val="center"/>
              <w:rPr>
                <w:b/>
                <w:bCs/>
                <w:sz w:val="16"/>
                <w:szCs w:val="16"/>
              </w:rPr>
            </w:pPr>
            <w:r w:rsidRPr="00531545">
              <w:rPr>
                <w:b/>
                <w:bCs/>
                <w:sz w:val="16"/>
                <w:szCs w:val="16"/>
              </w:rPr>
              <w:t>Frekvencia podávania správ</w:t>
            </w:r>
          </w:p>
        </w:tc>
        <w:tc>
          <w:tcPr>
            <w:tcW w:w="5745" w:type="dxa"/>
            <w:vMerge w:val="restart"/>
            <w:tcBorders>
              <w:top w:val="single" w:sz="8" w:space="0" w:color="4E67C8"/>
              <w:left w:val="single" w:sz="8" w:space="0" w:color="4E67C8"/>
              <w:right w:val="single" w:sz="8" w:space="0" w:color="4E67C8"/>
            </w:tcBorders>
            <w:vAlign w:val="center"/>
          </w:tcPr>
          <w:p w14:paraId="2A1BEA37" w14:textId="77777777" w:rsidR="000A5DBD" w:rsidRPr="00531545" w:rsidRDefault="000A5DBD" w:rsidP="00597B23">
            <w:pPr>
              <w:jc w:val="center"/>
              <w:rPr>
                <w:b/>
                <w:bCs/>
                <w:sz w:val="16"/>
                <w:szCs w:val="16"/>
              </w:rPr>
            </w:pPr>
            <w:r w:rsidRPr="00531545">
              <w:rPr>
                <w:b/>
                <w:bCs/>
                <w:sz w:val="16"/>
                <w:szCs w:val="16"/>
              </w:rPr>
              <w:t>Zdôvodnenie zmeny cieľovej hodnoty ukazovateľa</w:t>
            </w:r>
          </w:p>
        </w:tc>
      </w:tr>
      <w:tr w:rsidR="000A5DBD" w:rsidRPr="00531545" w14:paraId="570C1C4A" w14:textId="77777777" w:rsidTr="00597B23">
        <w:trPr>
          <w:trHeight w:val="397"/>
        </w:trPr>
        <w:tc>
          <w:tcPr>
            <w:tcW w:w="699" w:type="dxa"/>
            <w:vMerge/>
            <w:tcBorders>
              <w:left w:val="single" w:sz="8" w:space="0" w:color="4E67C8"/>
              <w:bottom w:val="single" w:sz="18" w:space="0" w:color="4E67C8"/>
              <w:right w:val="single" w:sz="8" w:space="0" w:color="4E67C8"/>
            </w:tcBorders>
            <w:shd w:val="clear" w:color="auto" w:fill="auto"/>
          </w:tcPr>
          <w:p w14:paraId="521DBF4B" w14:textId="77777777" w:rsidR="000A5DBD" w:rsidRPr="00531545" w:rsidRDefault="000A5DBD" w:rsidP="00597B23">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A407417" w14:textId="77777777" w:rsidR="000A5DBD" w:rsidRPr="00531545" w:rsidRDefault="000A5DBD" w:rsidP="00597B23">
            <w:pPr>
              <w:rPr>
                <w:b/>
                <w:bCs/>
                <w:sz w:val="16"/>
                <w:szCs w:val="16"/>
              </w:rPr>
            </w:pPr>
          </w:p>
        </w:tc>
        <w:tc>
          <w:tcPr>
            <w:tcW w:w="783" w:type="dxa"/>
            <w:vMerge/>
            <w:tcBorders>
              <w:left w:val="single" w:sz="8" w:space="0" w:color="4E67C8"/>
              <w:bottom w:val="single" w:sz="18" w:space="0" w:color="4E67C8"/>
              <w:right w:val="single" w:sz="8" w:space="0" w:color="4E67C8"/>
            </w:tcBorders>
            <w:shd w:val="clear" w:color="auto" w:fill="auto"/>
          </w:tcPr>
          <w:p w14:paraId="75B27A02" w14:textId="77777777" w:rsidR="000A5DBD" w:rsidRPr="00531545" w:rsidRDefault="000A5DBD" w:rsidP="00597B23">
            <w:pPr>
              <w:rPr>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14:paraId="5AFF8EE5" w14:textId="77777777" w:rsidR="000A5DBD" w:rsidRPr="00531545" w:rsidRDefault="000A5DBD" w:rsidP="00597B23">
            <w:pPr>
              <w:rPr>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14:paraId="1919BDE3" w14:textId="77777777" w:rsidR="000A5DBD" w:rsidRPr="00531545" w:rsidRDefault="000A5DBD" w:rsidP="00597B23">
            <w:pPr>
              <w:rPr>
                <w:b/>
                <w:bCs/>
                <w:sz w:val="16"/>
                <w:szCs w:val="16"/>
              </w:rPr>
            </w:pPr>
          </w:p>
        </w:tc>
        <w:tc>
          <w:tcPr>
            <w:tcW w:w="708"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B966703" w14:textId="77777777" w:rsidR="000A5DBD" w:rsidRPr="00531545" w:rsidRDefault="000A5DBD" w:rsidP="00597B23">
            <w:pPr>
              <w:jc w:val="center"/>
              <w:rPr>
                <w:b/>
                <w:bCs/>
                <w:sz w:val="16"/>
                <w:szCs w:val="16"/>
              </w:rPr>
            </w:pPr>
            <w:r w:rsidRPr="00531545">
              <w:rPr>
                <w:b/>
                <w:bCs/>
                <w:sz w:val="16"/>
                <w:szCs w:val="16"/>
              </w:rPr>
              <w:t>M</w:t>
            </w:r>
          </w:p>
        </w:tc>
        <w:tc>
          <w:tcPr>
            <w:tcW w:w="918"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23FAA4C0" w14:textId="77777777" w:rsidR="000A5DBD" w:rsidRPr="00531545" w:rsidRDefault="000A5DBD" w:rsidP="00597B23">
            <w:pPr>
              <w:jc w:val="center"/>
              <w:rPr>
                <w:b/>
                <w:bCs/>
                <w:sz w:val="16"/>
                <w:szCs w:val="16"/>
              </w:rPr>
            </w:pPr>
            <w:r w:rsidRPr="00531545">
              <w:rPr>
                <w:b/>
                <w:bCs/>
                <w:sz w:val="16"/>
                <w:szCs w:val="16"/>
              </w:rPr>
              <w:t>Ž</w:t>
            </w:r>
          </w:p>
        </w:tc>
        <w:tc>
          <w:tcPr>
            <w:tcW w:w="1209"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618F183D" w14:textId="77777777" w:rsidR="000A5DBD" w:rsidRPr="00531545" w:rsidRDefault="000A5DBD" w:rsidP="00597B23">
            <w:pPr>
              <w:jc w:val="center"/>
              <w:rPr>
                <w:b/>
                <w:bCs/>
                <w:sz w:val="16"/>
                <w:szCs w:val="16"/>
              </w:rPr>
            </w:pPr>
            <w:r w:rsidRPr="00531545">
              <w:rPr>
                <w:b/>
                <w:bCs/>
                <w:sz w:val="16"/>
                <w:szCs w:val="16"/>
              </w:rPr>
              <w:t>M+Ž</w:t>
            </w:r>
          </w:p>
        </w:tc>
        <w:tc>
          <w:tcPr>
            <w:tcW w:w="567" w:type="dxa"/>
            <w:vMerge/>
            <w:tcBorders>
              <w:left w:val="single" w:sz="8" w:space="0" w:color="4E67C8"/>
              <w:bottom w:val="single" w:sz="18" w:space="0" w:color="4E67C8"/>
              <w:right w:val="single" w:sz="8" w:space="0" w:color="4E67C8"/>
            </w:tcBorders>
            <w:shd w:val="clear" w:color="auto" w:fill="auto"/>
          </w:tcPr>
          <w:p w14:paraId="49A1C8BB" w14:textId="77777777" w:rsidR="000A5DBD" w:rsidRPr="00531545" w:rsidRDefault="000A5DBD" w:rsidP="00597B23">
            <w:pPr>
              <w:rPr>
                <w:b/>
                <w:bCs/>
                <w:sz w:val="16"/>
                <w:szCs w:val="16"/>
              </w:rPr>
            </w:pPr>
          </w:p>
        </w:tc>
        <w:tc>
          <w:tcPr>
            <w:tcW w:w="775" w:type="dxa"/>
            <w:vMerge/>
            <w:tcBorders>
              <w:left w:val="single" w:sz="8" w:space="0" w:color="4E67C8"/>
              <w:bottom w:val="single" w:sz="18" w:space="0" w:color="4E67C8"/>
              <w:right w:val="single" w:sz="8" w:space="0" w:color="4E67C8"/>
            </w:tcBorders>
          </w:tcPr>
          <w:p w14:paraId="5E9E8F57" w14:textId="77777777" w:rsidR="000A5DBD" w:rsidRPr="00531545" w:rsidRDefault="000A5DBD" w:rsidP="00597B23">
            <w:pPr>
              <w:rPr>
                <w:b/>
                <w:bCs/>
                <w:sz w:val="16"/>
                <w:szCs w:val="16"/>
              </w:rPr>
            </w:pPr>
          </w:p>
        </w:tc>
        <w:tc>
          <w:tcPr>
            <w:tcW w:w="5745" w:type="dxa"/>
            <w:vMerge/>
            <w:tcBorders>
              <w:left w:val="single" w:sz="8" w:space="0" w:color="4E67C8"/>
              <w:bottom w:val="single" w:sz="18" w:space="0" w:color="4E67C8"/>
              <w:right w:val="single" w:sz="8" w:space="0" w:color="4E67C8"/>
            </w:tcBorders>
          </w:tcPr>
          <w:p w14:paraId="03EDDB8B" w14:textId="77777777" w:rsidR="000A5DBD" w:rsidRPr="00531545" w:rsidRDefault="000A5DBD" w:rsidP="00597B23">
            <w:pPr>
              <w:rPr>
                <w:b/>
                <w:bCs/>
                <w:sz w:val="16"/>
                <w:szCs w:val="16"/>
              </w:rPr>
            </w:pPr>
          </w:p>
        </w:tc>
      </w:tr>
      <w:tr w:rsidR="000A5DBD" w:rsidRPr="00531545" w14:paraId="436476FF"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06A636F3" w14:textId="77777777" w:rsidR="000A5DBD" w:rsidRPr="00531545" w:rsidRDefault="000A5DBD" w:rsidP="00597B23">
            <w:pPr>
              <w:spacing w:before="40" w:after="40" w:line="20" w:lineRule="atLeast"/>
              <w:rPr>
                <w:sz w:val="16"/>
                <w:szCs w:val="16"/>
              </w:rPr>
            </w:pPr>
            <w:r w:rsidRPr="00531545">
              <w:rPr>
                <w:sz w:val="16"/>
                <w:szCs w:val="16"/>
              </w:rPr>
              <w:t>CV1</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3196C99E" w14:textId="77777777" w:rsidR="000A5DBD" w:rsidRPr="00531545" w:rsidRDefault="000A5DBD" w:rsidP="00597B23">
            <w:pPr>
              <w:spacing w:before="40" w:after="40" w:line="20" w:lineRule="atLeast"/>
              <w:rPr>
                <w:sz w:val="16"/>
                <w:szCs w:val="16"/>
              </w:rPr>
            </w:pPr>
            <w:r w:rsidRPr="00531545">
              <w:rPr>
                <w:sz w:val="16"/>
                <w:szCs w:val="16"/>
              </w:rPr>
              <w:t>Hodnota zakúpených osobných ochranných prostriedkov</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00C174DD"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8ACFA2F"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3F06A3E2" w14:textId="77777777" w:rsidR="000A5DBD" w:rsidRPr="00531545" w:rsidRDefault="000A5DBD" w:rsidP="00597B23">
            <w:pPr>
              <w:spacing w:before="40" w:after="40" w:line="20" w:lineRule="atLeast"/>
              <w:jc w:val="center"/>
              <w:rPr>
                <w:bCs/>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7CC9ED07"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6997187B"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4931919" w14:textId="77777777" w:rsidR="000A5DBD" w:rsidRPr="00531545" w:rsidDel="00967649" w:rsidRDefault="000A5DBD" w:rsidP="00597B23">
            <w:pPr>
              <w:spacing w:before="40" w:after="40" w:line="20" w:lineRule="atLeast"/>
              <w:jc w:val="center"/>
              <w:rPr>
                <w:sz w:val="16"/>
                <w:szCs w:val="16"/>
              </w:rPr>
            </w:pPr>
            <w:r w:rsidRPr="00531545">
              <w:rPr>
                <w:sz w:val="16"/>
                <w:szCs w:val="16"/>
              </w:rPr>
              <w:t>7 450 000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A36BBEE"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20D49039"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15ADB0CD"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 xml:space="preserve">ramatický vývoj pandémie COVID-19 </w:t>
            </w:r>
            <w:r>
              <w:rPr>
                <w:sz w:val="16"/>
                <w:szCs w:val="16"/>
              </w:rPr>
              <w:t xml:space="preserve">a vysoký počet hospitalizovaných pacientov s ochorením COVID-19 poukázal na akútnu potrebu </w:t>
            </w:r>
            <w:r w:rsidRPr="00531545">
              <w:rPr>
                <w:sz w:val="16"/>
                <w:szCs w:val="16"/>
              </w:rPr>
              <w:t>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w:t>
            </w:r>
            <w:r>
              <w:rPr>
                <w:sz w:val="16"/>
                <w:szCs w:val="16"/>
              </w:rPr>
              <w:t xml:space="preserve">V nadväznosti na zvýšenú potrebu zdravotníckeho prístrojového vybavenia sa dané premietne do zvýšenia cieľovej hodnoty MÚ CV2 a súčasným znížením cieľovej hodnoty MÚ CV1. </w:t>
            </w:r>
            <w:r w:rsidRPr="00531545">
              <w:rPr>
                <w:sz w:val="16"/>
                <w:szCs w:val="16"/>
              </w:rPr>
              <w:t xml:space="preserve">Zníženie cieľovej hodnoty MÚ CV1 </w:t>
            </w:r>
            <w:r>
              <w:rPr>
                <w:sz w:val="16"/>
                <w:szCs w:val="16"/>
              </w:rPr>
              <w:t>teda</w:t>
            </w:r>
            <w:r w:rsidRPr="00531545">
              <w:rPr>
                <w:sz w:val="16"/>
                <w:szCs w:val="16"/>
              </w:rPr>
              <w:t xml:space="preserve"> reflektuje zvýšením cieľovej hodnoty MÚ CV2. </w:t>
            </w:r>
          </w:p>
        </w:tc>
      </w:tr>
      <w:tr w:rsidR="000A5DBD" w:rsidRPr="00531545" w14:paraId="21735BEA"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0035FC44" w14:textId="77777777" w:rsidR="000A5DBD" w:rsidRPr="00531545" w:rsidRDefault="000A5DBD" w:rsidP="00597B23">
            <w:pPr>
              <w:spacing w:before="40" w:after="40" w:line="20" w:lineRule="atLeast"/>
              <w:rPr>
                <w:sz w:val="16"/>
                <w:szCs w:val="16"/>
              </w:rPr>
            </w:pPr>
            <w:r w:rsidRPr="00531545">
              <w:rPr>
                <w:sz w:val="16"/>
                <w:szCs w:val="16"/>
              </w:rPr>
              <w:t>CV1</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321B7833" w14:textId="77777777" w:rsidR="000A5DBD" w:rsidRPr="00531545" w:rsidRDefault="000A5DBD" w:rsidP="00597B23">
            <w:pPr>
              <w:spacing w:before="40" w:after="40" w:line="20" w:lineRule="atLeast"/>
              <w:rPr>
                <w:sz w:val="16"/>
                <w:szCs w:val="16"/>
              </w:rPr>
            </w:pPr>
            <w:r w:rsidRPr="00531545">
              <w:rPr>
                <w:sz w:val="16"/>
                <w:szCs w:val="16"/>
              </w:rPr>
              <w:t>Hodnota zakúpených osobných ochranných prostriedkov</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62DEF88B"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EF1E7AE"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4151C95D" w14:textId="77777777" w:rsidR="000A5DBD" w:rsidRPr="00531545" w:rsidRDefault="000A5DBD" w:rsidP="00597B23">
            <w:pPr>
              <w:spacing w:before="40" w:after="40" w:line="20" w:lineRule="atLeast"/>
              <w:jc w:val="center"/>
              <w:rPr>
                <w:bCs/>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79A6D5BD"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1062B584"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35DA3430" w14:textId="77777777" w:rsidR="000A5DBD" w:rsidRPr="00531545" w:rsidDel="00967649" w:rsidRDefault="000A5DBD" w:rsidP="00597B23">
            <w:pPr>
              <w:spacing w:before="40" w:after="40" w:line="20" w:lineRule="atLeast"/>
              <w:jc w:val="center"/>
              <w:rPr>
                <w:sz w:val="16"/>
                <w:szCs w:val="16"/>
              </w:rPr>
            </w:pPr>
            <w:r w:rsidRPr="00531545">
              <w:rPr>
                <w:sz w:val="16"/>
                <w:szCs w:val="16"/>
              </w:rPr>
              <w:t>2 130 000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0F10E7DD"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169BB545"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6E85E371"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ramatický vývoj pandémie COVID-19</w:t>
            </w:r>
            <w:r>
              <w:rPr>
                <w:sz w:val="16"/>
                <w:szCs w:val="16"/>
              </w:rPr>
              <w:t xml:space="preserve"> a vysoký počet hospitalizovaných pacientov s ochorením COVID-19 poukázal na akútnu potrebu</w:t>
            </w:r>
            <w:r w:rsidRPr="00531545">
              <w:rPr>
                <w:sz w:val="16"/>
                <w:szCs w:val="16"/>
              </w:rPr>
              <w:t xml:space="preserve"> 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w:t>
            </w:r>
            <w:r>
              <w:rPr>
                <w:sz w:val="16"/>
                <w:szCs w:val="16"/>
              </w:rPr>
              <w:t xml:space="preserve">V nadväznosti na zvýšenú potrebu zdravotníckeho prístrojového vybavenia sa dané premietne do zvýšenia cieľovej hodnoty MÚ CV2 a súčasným znížením cieľovej hodnoty MÚ CV1. </w:t>
            </w:r>
            <w:r w:rsidRPr="00531545">
              <w:rPr>
                <w:sz w:val="16"/>
                <w:szCs w:val="16"/>
              </w:rPr>
              <w:t xml:space="preserve">Zníženie cieľovej hodnoty MÚ CV1 </w:t>
            </w:r>
            <w:r>
              <w:rPr>
                <w:sz w:val="16"/>
                <w:szCs w:val="16"/>
              </w:rPr>
              <w:t>teda</w:t>
            </w:r>
            <w:r w:rsidRPr="00531545">
              <w:rPr>
                <w:sz w:val="16"/>
                <w:szCs w:val="16"/>
              </w:rPr>
              <w:t xml:space="preserve"> reflektuje zvýšením cieľovej hodnoty MÚ CV2.</w:t>
            </w:r>
          </w:p>
        </w:tc>
      </w:tr>
      <w:tr w:rsidR="000A5DBD" w:rsidRPr="00531545" w14:paraId="14A4DFAA"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199EF35" w14:textId="77777777" w:rsidR="000A5DBD" w:rsidRPr="00531545" w:rsidRDefault="000A5DBD" w:rsidP="00597B23">
            <w:pPr>
              <w:spacing w:before="40" w:after="40" w:line="20" w:lineRule="atLeast"/>
              <w:rPr>
                <w:sz w:val="16"/>
                <w:szCs w:val="16"/>
              </w:rPr>
            </w:pPr>
            <w:r w:rsidRPr="00531545">
              <w:rPr>
                <w:sz w:val="16"/>
                <w:szCs w:val="16"/>
              </w:rPr>
              <w:t>CV2</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697A9DDE" w14:textId="77777777" w:rsidR="000A5DBD" w:rsidRPr="00531545" w:rsidRDefault="000A5DBD" w:rsidP="00597B23">
            <w:pPr>
              <w:spacing w:before="40" w:after="40" w:line="20" w:lineRule="atLeast"/>
              <w:rPr>
                <w:sz w:val="16"/>
                <w:szCs w:val="16"/>
              </w:rPr>
            </w:pPr>
            <w:r w:rsidRPr="00531545">
              <w:rPr>
                <w:sz w:val="16"/>
                <w:szCs w:val="16"/>
              </w:rPr>
              <w:t>Hodnota zakúpeného zdravotníckeho vybavenia</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200730C8"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EE7280C"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14F82177" w14:textId="77777777" w:rsidR="000A5DBD" w:rsidRPr="00531545" w:rsidRDefault="000A5DBD" w:rsidP="00597B23">
            <w:pPr>
              <w:spacing w:before="40" w:after="40" w:line="20" w:lineRule="atLeast"/>
              <w:jc w:val="center"/>
              <w:rPr>
                <w:bCs/>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0E288230"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43172881"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A79B820" w14:textId="77777777" w:rsidR="000A5DBD" w:rsidRPr="00531545" w:rsidDel="00967649" w:rsidRDefault="000A5DBD" w:rsidP="00597B23">
            <w:pPr>
              <w:spacing w:before="40" w:after="40" w:line="20" w:lineRule="atLeast"/>
              <w:jc w:val="center"/>
              <w:rPr>
                <w:sz w:val="16"/>
                <w:szCs w:val="16"/>
              </w:rPr>
            </w:pPr>
            <w:r w:rsidRPr="00531545">
              <w:rPr>
                <w:sz w:val="16"/>
                <w:szCs w:val="16"/>
              </w:rPr>
              <w:t>52 000 000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A99869B"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4ECDC020"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465060F8"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 xml:space="preserve">ramatický vývoj pandémie COVID-19 </w:t>
            </w:r>
            <w:r>
              <w:rPr>
                <w:sz w:val="16"/>
                <w:szCs w:val="16"/>
              </w:rPr>
              <w:t>a vysoký počet hospitalizovaných pacientov s ochorením COVID-19 poukázal na akútnu potrebu</w:t>
            </w:r>
            <w:r w:rsidRPr="00531545">
              <w:rPr>
                <w:sz w:val="16"/>
                <w:szCs w:val="16"/>
              </w:rPr>
              <w:t xml:space="preserve"> 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w:t>
            </w:r>
            <w:r>
              <w:rPr>
                <w:sz w:val="16"/>
                <w:szCs w:val="16"/>
              </w:rPr>
              <w:t xml:space="preserve">V nadväznosti na zvýšenú potrebu zdravotníckeho prístrojového vybavenia sa dané premietne do zvýšenia cieľovej hodnoty MÚ CV2. </w:t>
            </w:r>
            <w:r w:rsidRPr="00531545">
              <w:rPr>
                <w:sz w:val="16"/>
                <w:szCs w:val="16"/>
              </w:rPr>
              <w:t>Zvýšenie cieľovej hodnoty MÚ CV2 zároveň reflektuje znížením cieľovej hodnoty MÚ CV1 a CV3.</w:t>
            </w:r>
          </w:p>
        </w:tc>
      </w:tr>
      <w:tr w:rsidR="000A5DBD" w:rsidRPr="00531545" w14:paraId="6DF67A32"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142540DF" w14:textId="77777777" w:rsidR="000A5DBD" w:rsidRPr="00531545" w:rsidRDefault="000A5DBD" w:rsidP="00597B23">
            <w:pPr>
              <w:spacing w:before="40" w:after="40" w:line="20" w:lineRule="atLeast"/>
              <w:rPr>
                <w:sz w:val="16"/>
                <w:szCs w:val="16"/>
              </w:rPr>
            </w:pPr>
            <w:r w:rsidRPr="00531545">
              <w:rPr>
                <w:sz w:val="16"/>
                <w:szCs w:val="16"/>
              </w:rPr>
              <w:t>CV2</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743662C1" w14:textId="77777777" w:rsidR="000A5DBD" w:rsidRPr="00531545" w:rsidRDefault="000A5DBD" w:rsidP="00597B23">
            <w:pPr>
              <w:spacing w:before="40" w:after="40" w:line="20" w:lineRule="atLeast"/>
              <w:rPr>
                <w:sz w:val="16"/>
                <w:szCs w:val="16"/>
              </w:rPr>
            </w:pPr>
            <w:r w:rsidRPr="00531545">
              <w:rPr>
                <w:sz w:val="16"/>
                <w:szCs w:val="16"/>
              </w:rPr>
              <w:t>Hodnota zakúpeného zdravotníckeho vybavenia</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65778BB5"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63799DD"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0E167779" w14:textId="77777777" w:rsidR="000A5DBD" w:rsidRPr="00531545" w:rsidRDefault="000A5DBD" w:rsidP="00597B23">
            <w:pPr>
              <w:spacing w:before="40" w:after="40" w:line="20" w:lineRule="atLeast"/>
              <w:jc w:val="center"/>
              <w:rPr>
                <w:bCs/>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0EF21BAD"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791C7098"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531872A0" w14:textId="77777777" w:rsidR="000A5DBD" w:rsidRPr="00531545" w:rsidDel="00967649" w:rsidRDefault="000A5DBD" w:rsidP="00597B23">
            <w:pPr>
              <w:spacing w:before="40" w:after="40" w:line="20" w:lineRule="atLeast"/>
              <w:jc w:val="center"/>
              <w:rPr>
                <w:sz w:val="16"/>
                <w:szCs w:val="16"/>
              </w:rPr>
            </w:pPr>
            <w:r w:rsidRPr="00531545">
              <w:rPr>
                <w:sz w:val="16"/>
                <w:szCs w:val="16"/>
              </w:rPr>
              <w:t>20 000 000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BF24441"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4831738A"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2C2A4DC6"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 xml:space="preserve">ramatický vývoj pandémie COVID-19 </w:t>
            </w:r>
            <w:r>
              <w:rPr>
                <w:sz w:val="16"/>
                <w:szCs w:val="16"/>
              </w:rPr>
              <w:t>a vysoký počet hospitalizovaných pacientov s ochorením COVID-19 poukázal na akútnu potrebu</w:t>
            </w:r>
            <w:r w:rsidRPr="00531545">
              <w:rPr>
                <w:sz w:val="16"/>
                <w:szCs w:val="16"/>
              </w:rPr>
              <w:t xml:space="preserve"> 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w:t>
            </w:r>
            <w:r>
              <w:rPr>
                <w:sz w:val="16"/>
                <w:szCs w:val="16"/>
              </w:rPr>
              <w:t xml:space="preserve">V nadväznosti na zvýšenú potrebu zdravotníckeho prístrojového vybavenia sa dané premietne do zvýšenia cieľovej hodnoty MÚ CV2. </w:t>
            </w:r>
            <w:r w:rsidRPr="00531545">
              <w:rPr>
                <w:sz w:val="16"/>
                <w:szCs w:val="16"/>
              </w:rPr>
              <w:t>Zvýšenie cieľovej hodnoty MÚ CV2 zároveň reflektuje znížením cieľovej hodnoty MÚ CV1 a CV3.</w:t>
            </w:r>
          </w:p>
        </w:tc>
      </w:tr>
      <w:tr w:rsidR="000A5DBD" w:rsidRPr="00531545" w14:paraId="37B7EB47"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3BAC521" w14:textId="77777777" w:rsidR="000A5DBD" w:rsidRPr="00531545" w:rsidRDefault="000A5DBD" w:rsidP="00597B23">
            <w:pPr>
              <w:spacing w:before="40" w:after="40" w:line="20" w:lineRule="atLeast"/>
              <w:rPr>
                <w:sz w:val="16"/>
                <w:szCs w:val="16"/>
              </w:rPr>
            </w:pPr>
            <w:r w:rsidRPr="00531545">
              <w:rPr>
                <w:sz w:val="16"/>
                <w:szCs w:val="16"/>
              </w:rPr>
              <w:t>CV3</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4F294B4B" w14:textId="77777777" w:rsidR="000A5DBD" w:rsidRPr="00531545" w:rsidRDefault="000A5DBD" w:rsidP="00597B23">
            <w:pPr>
              <w:spacing w:before="40" w:after="40" w:line="20" w:lineRule="atLeast"/>
              <w:rPr>
                <w:sz w:val="16"/>
                <w:szCs w:val="16"/>
              </w:rPr>
            </w:pPr>
            <w:r w:rsidRPr="00531545">
              <w:rPr>
                <w:sz w:val="16"/>
                <w:szCs w:val="16"/>
              </w:rPr>
              <w:t>Hodnota liekov zakúpených v súvislosti s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7E3A60F2"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0A628EA"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217C5C5F" w14:textId="77777777" w:rsidR="000A5DBD" w:rsidRPr="00531545" w:rsidRDefault="000A5DBD" w:rsidP="00597B23">
            <w:pPr>
              <w:spacing w:before="40" w:after="40" w:line="20" w:lineRule="atLeast"/>
              <w:jc w:val="center"/>
              <w:rPr>
                <w:bCs/>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3AF0674D"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33B7D70E"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2EC20503" w14:textId="77777777" w:rsidR="000A5DBD" w:rsidRPr="00531545" w:rsidDel="00967649" w:rsidRDefault="000A5DBD" w:rsidP="00597B23">
            <w:pPr>
              <w:spacing w:before="40" w:after="40" w:line="20" w:lineRule="atLeast"/>
              <w:jc w:val="center"/>
              <w:rPr>
                <w:sz w:val="16"/>
                <w:szCs w:val="16"/>
              </w:rPr>
            </w:pPr>
            <w:r w:rsidRPr="00531545">
              <w:rPr>
                <w:sz w:val="16"/>
                <w:szCs w:val="16"/>
              </w:rPr>
              <w:t>1 800 000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446FE28"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12913BF8"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68B66119"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ramatický vývoj pandémie COVID-19</w:t>
            </w:r>
            <w:r>
              <w:rPr>
                <w:sz w:val="16"/>
                <w:szCs w:val="16"/>
              </w:rPr>
              <w:t xml:space="preserve"> a vysoký počet hospitalizovaných pacientov s ochorením COVID-19 poukázal na akútnu potrebu</w:t>
            </w:r>
            <w:r w:rsidRPr="00531545">
              <w:rPr>
                <w:sz w:val="16"/>
                <w:szCs w:val="16"/>
              </w:rPr>
              <w:t xml:space="preserve"> 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Taktiež niektoré typy výdavkov (napr. </w:t>
            </w:r>
            <w:proofErr w:type="spellStart"/>
            <w:r w:rsidRPr="00531545">
              <w:rPr>
                <w:sz w:val="16"/>
                <w:szCs w:val="16"/>
              </w:rPr>
              <w:t>Ag</w:t>
            </w:r>
            <w:proofErr w:type="spellEnd"/>
            <w:r w:rsidRPr="00531545">
              <w:rPr>
                <w:sz w:val="16"/>
                <w:szCs w:val="16"/>
              </w:rPr>
              <w:t xml:space="preserve"> testy) boli hradené zo štátneho rozpočtu. Zníženie cieľovej hodnoty MÚ CV3 zároveň </w:t>
            </w:r>
            <w:r w:rsidRPr="00531545">
              <w:rPr>
                <w:sz w:val="16"/>
                <w:szCs w:val="16"/>
              </w:rPr>
              <w:lastRenderedPageBreak/>
              <w:t>reflektuje zvýšením cieľovej hodnoty MÚ CV2.</w:t>
            </w:r>
          </w:p>
        </w:tc>
      </w:tr>
      <w:tr w:rsidR="000A5DBD" w:rsidRPr="00531545" w14:paraId="128C306E"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5C9CB8D" w14:textId="77777777" w:rsidR="000A5DBD" w:rsidRPr="00531545" w:rsidRDefault="000A5DBD" w:rsidP="00597B23">
            <w:pPr>
              <w:spacing w:before="40" w:after="40" w:line="20" w:lineRule="atLeast"/>
              <w:rPr>
                <w:sz w:val="16"/>
                <w:szCs w:val="16"/>
              </w:rPr>
            </w:pPr>
            <w:r w:rsidRPr="00531545">
              <w:rPr>
                <w:sz w:val="16"/>
                <w:szCs w:val="16"/>
              </w:rPr>
              <w:lastRenderedPageBreak/>
              <w:t>CV3</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4992A202" w14:textId="77777777" w:rsidR="000A5DBD" w:rsidRPr="00531545" w:rsidRDefault="000A5DBD" w:rsidP="00597B23">
            <w:pPr>
              <w:spacing w:before="40" w:after="40" w:line="20" w:lineRule="atLeast"/>
              <w:rPr>
                <w:sz w:val="16"/>
                <w:szCs w:val="16"/>
              </w:rPr>
            </w:pPr>
            <w:r w:rsidRPr="00531545">
              <w:rPr>
                <w:sz w:val="16"/>
                <w:szCs w:val="16"/>
              </w:rPr>
              <w:t>Hodnota liekov zakúpených v súvislosti s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195E1300"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90BAC89"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5FE6CCD3" w14:textId="77777777" w:rsidR="000A5DBD" w:rsidRPr="00531545" w:rsidRDefault="000A5DBD" w:rsidP="00597B23">
            <w:pPr>
              <w:spacing w:before="40" w:after="40" w:line="20" w:lineRule="atLeast"/>
              <w:jc w:val="center"/>
              <w:rPr>
                <w:bCs/>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344C9850"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797C10D9"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279F423B" w14:textId="77777777" w:rsidR="000A5DBD" w:rsidRPr="00531545" w:rsidDel="00967649" w:rsidRDefault="000A5DBD" w:rsidP="00597B23">
            <w:pPr>
              <w:spacing w:before="40" w:after="40" w:line="20" w:lineRule="atLeast"/>
              <w:jc w:val="center"/>
              <w:rPr>
                <w:sz w:val="16"/>
                <w:szCs w:val="16"/>
              </w:rPr>
            </w:pPr>
            <w:r w:rsidRPr="00531545">
              <w:rPr>
                <w:sz w:val="16"/>
                <w:szCs w:val="16"/>
              </w:rPr>
              <w:t>55 800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3BC8C67"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13632363"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5D5149E1" w14:textId="77777777" w:rsidR="000A5DBD" w:rsidRPr="00531545" w:rsidRDefault="000A5DBD" w:rsidP="00597B23">
            <w:pPr>
              <w:spacing w:before="40" w:after="40" w:line="20" w:lineRule="atLeast"/>
              <w:jc w:val="both"/>
              <w:rPr>
                <w:sz w:val="16"/>
                <w:szCs w:val="16"/>
              </w:rPr>
            </w:pPr>
            <w:r>
              <w:rPr>
                <w:sz w:val="16"/>
                <w:szCs w:val="16"/>
              </w:rPr>
              <w:t>D</w:t>
            </w:r>
            <w:r w:rsidRPr="00531545">
              <w:rPr>
                <w:sz w:val="16"/>
                <w:szCs w:val="16"/>
              </w:rPr>
              <w:t xml:space="preserve">ramatický vývoj pandémie COVID-19 </w:t>
            </w:r>
            <w:r>
              <w:rPr>
                <w:sz w:val="16"/>
                <w:szCs w:val="16"/>
              </w:rPr>
              <w:t>a vysoký počet hospitalizovaných pacientov s ochorením COVID-19 poukázal na akútnu potrebu</w:t>
            </w:r>
            <w:r w:rsidRPr="00531545">
              <w:rPr>
                <w:sz w:val="16"/>
                <w:szCs w:val="16"/>
              </w:rPr>
              <w:t xml:space="preserve"> zdravotníckeho prístrojového vybavenia a </w:t>
            </w:r>
            <w:proofErr w:type="spellStart"/>
            <w:r w:rsidRPr="00531545">
              <w:rPr>
                <w:sz w:val="16"/>
                <w:szCs w:val="16"/>
              </w:rPr>
              <w:t>reprofilizáciu</w:t>
            </w:r>
            <w:proofErr w:type="spellEnd"/>
            <w:r w:rsidRPr="00531545">
              <w:rPr>
                <w:sz w:val="16"/>
                <w:szCs w:val="16"/>
              </w:rPr>
              <w:t xml:space="preserve"> lôžok s cieľom poskytnúť adekvátnu a kvalitnú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Taktiež niektoré typy výdavkov (napr. </w:t>
            </w:r>
            <w:proofErr w:type="spellStart"/>
            <w:r w:rsidRPr="00531545">
              <w:rPr>
                <w:sz w:val="16"/>
                <w:szCs w:val="16"/>
              </w:rPr>
              <w:t>Ag</w:t>
            </w:r>
            <w:proofErr w:type="spellEnd"/>
            <w:r w:rsidRPr="00531545">
              <w:rPr>
                <w:sz w:val="16"/>
                <w:szCs w:val="16"/>
              </w:rPr>
              <w:t xml:space="preserve"> testy) boli hradené zo štátneho rozpočtu. Zníženie cieľovej hodnoty MÚ CV3 zároveň reflektuje zvýšením cieľovej hodnoty MÚ CV2.</w:t>
            </w:r>
          </w:p>
        </w:tc>
      </w:tr>
      <w:tr w:rsidR="000A5DBD" w:rsidRPr="00531545" w14:paraId="4D2DE038"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72AB0D2" w14:textId="77777777" w:rsidR="000A5DBD" w:rsidRPr="00531545" w:rsidRDefault="000A5DBD" w:rsidP="00597B23">
            <w:pPr>
              <w:spacing w:before="40" w:after="40" w:line="20" w:lineRule="atLeast"/>
              <w:rPr>
                <w:sz w:val="16"/>
                <w:szCs w:val="16"/>
              </w:rPr>
            </w:pPr>
            <w:r w:rsidRPr="00531545">
              <w:rPr>
                <w:sz w:val="16"/>
                <w:szCs w:val="16"/>
              </w:rPr>
              <w:t>CV4b</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2BCE3F5B" w14:textId="77777777" w:rsidR="000A5DBD" w:rsidRPr="00531545" w:rsidRDefault="000A5DBD" w:rsidP="00597B23">
            <w:pPr>
              <w:spacing w:before="40" w:after="40" w:line="20" w:lineRule="atLeast"/>
              <w:rPr>
                <w:sz w:val="16"/>
                <w:szCs w:val="16"/>
              </w:rPr>
            </w:pPr>
            <w:r w:rsidRPr="00531545">
              <w:rPr>
                <w:sz w:val="16"/>
                <w:szCs w:val="16"/>
              </w:rPr>
              <w:t>Hodnota IT súvisiacich s COVID-19 pre zdravotníctvo</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22616273"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0D0A87D5"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6809B6BD" w14:textId="77777777" w:rsidR="000A5DBD" w:rsidRPr="00531545" w:rsidRDefault="000A5DBD" w:rsidP="00597B23">
            <w:pPr>
              <w:spacing w:before="40" w:after="40" w:line="20" w:lineRule="atLeast"/>
              <w:jc w:val="center"/>
              <w:rPr>
                <w:bCs/>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57B471FC"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4085BE04"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5D787C0" w14:textId="77777777" w:rsidR="000A5DBD" w:rsidRPr="00531545" w:rsidDel="00967649" w:rsidRDefault="000A5DBD" w:rsidP="00597B23">
            <w:pPr>
              <w:spacing w:before="40" w:after="40" w:line="20" w:lineRule="atLeast"/>
              <w:jc w:val="center"/>
              <w:rPr>
                <w:sz w:val="16"/>
                <w:szCs w:val="16"/>
              </w:rPr>
            </w:pPr>
            <w:r w:rsidRPr="00531545">
              <w:rPr>
                <w:sz w:val="16"/>
                <w:szCs w:val="16"/>
              </w:rPr>
              <w:t>5 300 000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87FCAF6"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7999FCA8"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237EA933" w14:textId="77777777" w:rsidR="000A5DBD" w:rsidRPr="00531545" w:rsidRDefault="000A5DBD" w:rsidP="00597B23">
            <w:pPr>
              <w:spacing w:before="40" w:after="40" w:line="20" w:lineRule="atLeast"/>
              <w:jc w:val="both"/>
              <w:rPr>
                <w:sz w:val="16"/>
                <w:szCs w:val="16"/>
              </w:rPr>
            </w:pPr>
            <w:r w:rsidRPr="00531545">
              <w:rPr>
                <w:sz w:val="16"/>
                <w:szCs w:val="16"/>
              </w:rPr>
              <w:t xml:space="preserve">Vývoj situácie v súvislosti s ochorením COVID-19 v rámci jednotlivých regiónov, ako aj potreba zabezpečiť dosah informačného systému k užívateľom, adekvátne prepojenie a posilnenie služieb operačného strediska záchrannej zdravotnej služby a nemocníc odzrkadľuje pomer vo VRR/MRR k počtu užívateľov IT. Súhrnne hodnota IT za oba regióny (5 300 000 eur pre MRR + 1 130 000 eur pre VRR) výrazne prekročila pôvodnú súhrnnú cieľovú hodnotu (pôvodne 3 500 000 eur pre MRR + 1 500 000 eur pre VRR) z prostriedkov EŠIF, avšak v inom pomere pre jednotlivé regióny ako reakcia na vývoj epidemiologickej situácie a skutočnú potrebu dosahu IT k počtu užívateľov v rámci jednotlivých regiónov. </w:t>
            </w:r>
          </w:p>
        </w:tc>
      </w:tr>
      <w:tr w:rsidR="000A5DBD" w:rsidRPr="00531545" w14:paraId="58866139"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73FFA440" w14:textId="77777777" w:rsidR="000A5DBD" w:rsidRPr="00531545" w:rsidRDefault="000A5DBD" w:rsidP="00597B23">
            <w:pPr>
              <w:spacing w:before="40" w:after="40" w:line="20" w:lineRule="atLeast"/>
              <w:rPr>
                <w:sz w:val="16"/>
                <w:szCs w:val="16"/>
              </w:rPr>
            </w:pPr>
            <w:r w:rsidRPr="00531545">
              <w:rPr>
                <w:sz w:val="16"/>
                <w:szCs w:val="16"/>
              </w:rPr>
              <w:t>CV4b</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314D1846" w14:textId="77777777" w:rsidR="000A5DBD" w:rsidRPr="00531545" w:rsidRDefault="000A5DBD" w:rsidP="00597B23">
            <w:pPr>
              <w:spacing w:before="40" w:after="40" w:line="20" w:lineRule="atLeast"/>
              <w:rPr>
                <w:sz w:val="16"/>
                <w:szCs w:val="16"/>
              </w:rPr>
            </w:pPr>
            <w:r w:rsidRPr="00531545">
              <w:rPr>
                <w:sz w:val="16"/>
                <w:szCs w:val="16"/>
              </w:rPr>
              <w:t>Hodnota IT súvisiacich s COVID-19 pre zdravotníctvo</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75A8F3FE" w14:textId="77777777" w:rsidR="000A5DBD" w:rsidRPr="00531545" w:rsidRDefault="000A5DBD" w:rsidP="00597B23">
            <w:pPr>
              <w:spacing w:before="40" w:after="40" w:line="20" w:lineRule="atLeast"/>
              <w:jc w:val="center"/>
              <w:rPr>
                <w:bCs/>
                <w:sz w:val="16"/>
                <w:szCs w:val="16"/>
              </w:rPr>
            </w:pPr>
            <w:r w:rsidRPr="00531545">
              <w:rPr>
                <w:bCs/>
                <w:sz w:val="16"/>
                <w:szCs w:val="16"/>
              </w:rPr>
              <w:t>eur</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DA54ACF"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7933EAFF" w14:textId="77777777" w:rsidR="000A5DBD" w:rsidRPr="00531545" w:rsidRDefault="000A5DBD" w:rsidP="00597B23">
            <w:pPr>
              <w:spacing w:before="40" w:after="40" w:line="20" w:lineRule="atLeast"/>
              <w:jc w:val="center"/>
              <w:rPr>
                <w:bCs/>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57CB25F5"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277C0272"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5B768C1B" w14:textId="77777777" w:rsidR="000A5DBD" w:rsidRPr="00531545" w:rsidDel="00967649" w:rsidRDefault="000A5DBD" w:rsidP="00597B23">
            <w:pPr>
              <w:spacing w:before="40" w:after="40" w:line="20" w:lineRule="atLeast"/>
              <w:jc w:val="center"/>
              <w:rPr>
                <w:sz w:val="16"/>
                <w:szCs w:val="16"/>
              </w:rPr>
            </w:pPr>
            <w:r w:rsidRPr="00531545">
              <w:rPr>
                <w:sz w:val="16"/>
                <w:szCs w:val="16"/>
              </w:rPr>
              <w:t>1 130 000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DE9C697"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3C748671"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Pr>
          <w:p w14:paraId="5D5672FE" w14:textId="77777777" w:rsidR="000A5DBD" w:rsidRPr="00531545" w:rsidRDefault="000A5DBD" w:rsidP="00597B23">
            <w:pPr>
              <w:spacing w:before="40" w:after="40" w:line="20" w:lineRule="atLeast"/>
              <w:jc w:val="both"/>
              <w:rPr>
                <w:sz w:val="16"/>
                <w:szCs w:val="16"/>
              </w:rPr>
            </w:pPr>
            <w:r w:rsidRPr="00531545">
              <w:rPr>
                <w:sz w:val="16"/>
                <w:szCs w:val="16"/>
              </w:rPr>
              <w:t>Vývoj situácie v súvislosti s ochorením COVID-19 v rámci jednotlivých regiónov, ako aj potreba zabezpečiť dosah informačného systému k užívateľom, adekvátne prepojenie a posilnenie služieb operačného strediska záchrannej zdravotnej služby a nemocníc odzrkadľuje pomer vo VRR/MRR k počtu užívateľov IT. Súhrnne hodnota IT za oba regióny (5 300 000 eur pre MRR + 1 130 000 eur pre VRR) výrazne prekročila pôvodnú súhrnnú cieľovú hodnotu (pôvodne 3 500 000 eur pre MRR + 1 500 000 eur pre VRR) z prostriedkov EŠIF, avšak v inom pomere pre jednotlivé regióny ako reakcia na vývoj epidemiologickej situácie a skutočnú potrebu dosahu IT k počtu užívateľov</w:t>
            </w:r>
            <w:r>
              <w:rPr>
                <w:sz w:val="16"/>
                <w:szCs w:val="16"/>
              </w:rPr>
              <w:t xml:space="preserve"> v rámci jednotlivých regiónov.</w:t>
            </w:r>
            <w:r w:rsidRPr="00531545">
              <w:rPr>
                <w:sz w:val="16"/>
                <w:szCs w:val="16"/>
              </w:rPr>
              <w:t xml:space="preserve"> </w:t>
            </w:r>
          </w:p>
        </w:tc>
      </w:tr>
      <w:tr w:rsidR="000A5DBD" w:rsidRPr="00531545" w14:paraId="2DC433EE"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364CB793" w14:textId="77777777" w:rsidR="000A5DBD" w:rsidRPr="00531545" w:rsidRDefault="000A5DBD" w:rsidP="00597B23">
            <w:pPr>
              <w:spacing w:before="40" w:after="40" w:line="20" w:lineRule="atLeast"/>
              <w:rPr>
                <w:bCs/>
                <w:sz w:val="16"/>
                <w:szCs w:val="16"/>
              </w:rPr>
            </w:pPr>
            <w:r w:rsidRPr="00531545">
              <w:rPr>
                <w:sz w:val="16"/>
                <w:szCs w:val="16"/>
              </w:rPr>
              <w:t>CV7</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382B6383" w14:textId="77777777" w:rsidR="000A5DBD" w:rsidRPr="00531545" w:rsidRDefault="000A5DBD" w:rsidP="00597B23">
            <w:pPr>
              <w:spacing w:before="40" w:after="40" w:line="20" w:lineRule="atLeast"/>
              <w:rPr>
                <w:sz w:val="16"/>
                <w:szCs w:val="16"/>
              </w:rPr>
            </w:pPr>
            <w:r w:rsidRPr="00531545">
              <w:rPr>
                <w:sz w:val="16"/>
                <w:szCs w:val="16"/>
              </w:rPr>
              <w:t>Ventilátory na podporu liečby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73955BA6" w14:textId="77777777" w:rsidR="000A5DBD" w:rsidRPr="00531545" w:rsidRDefault="000A5DBD" w:rsidP="00597B23">
            <w:pPr>
              <w:spacing w:before="40" w:after="40" w:line="20" w:lineRule="atLeast"/>
              <w:jc w:val="center"/>
              <w:rPr>
                <w:sz w:val="16"/>
                <w:szCs w:val="16"/>
              </w:rPr>
            </w:pPr>
            <w:r w:rsidRPr="00531545">
              <w:rPr>
                <w:bCs/>
                <w:sz w:val="16"/>
                <w:szCs w:val="16"/>
              </w:rPr>
              <w:t>počet</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3E9DEF3"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7E1ADCA0" w14:textId="77777777" w:rsidR="000A5DBD" w:rsidRPr="00531545" w:rsidRDefault="000A5DBD" w:rsidP="00597B23">
            <w:pPr>
              <w:spacing w:before="40" w:after="40" w:line="20" w:lineRule="atLeast"/>
              <w:jc w:val="center"/>
              <w:rPr>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678EE9D9"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70AE1042"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0B2996E" w14:textId="77777777" w:rsidR="000A5DBD" w:rsidRPr="00531545" w:rsidRDefault="000A5DBD" w:rsidP="00597B23">
            <w:pPr>
              <w:spacing w:before="40" w:after="40" w:line="20" w:lineRule="atLeast"/>
              <w:jc w:val="center"/>
              <w:rPr>
                <w:sz w:val="16"/>
                <w:szCs w:val="16"/>
              </w:rPr>
            </w:pPr>
            <w:r w:rsidRPr="00531545">
              <w:rPr>
                <w:sz w:val="16"/>
                <w:szCs w:val="16"/>
              </w:rPr>
              <w:t>407</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EB4E8B4"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3D500FC4" w14:textId="77777777" w:rsidR="000A5DBD" w:rsidRPr="00531545" w:rsidRDefault="000A5DBD" w:rsidP="00597B23">
            <w:pPr>
              <w:spacing w:before="40" w:after="40" w:line="20" w:lineRule="atLeast"/>
              <w:jc w:val="center"/>
              <w:rPr>
                <w:sz w:val="16"/>
                <w:szCs w:val="16"/>
              </w:rPr>
            </w:pPr>
            <w:r w:rsidRPr="00531545">
              <w:rPr>
                <w:bCs/>
                <w:sz w:val="16"/>
                <w:szCs w:val="16"/>
              </w:rPr>
              <w:t>ročne</w:t>
            </w:r>
          </w:p>
        </w:tc>
        <w:tc>
          <w:tcPr>
            <w:tcW w:w="5745" w:type="dxa"/>
          </w:tcPr>
          <w:p w14:paraId="4379ABE4" w14:textId="77777777" w:rsidR="000A5DBD" w:rsidRPr="00531545" w:rsidRDefault="000A5DBD" w:rsidP="00597B23">
            <w:pPr>
              <w:spacing w:before="40" w:after="40" w:line="20" w:lineRule="atLeast"/>
              <w:jc w:val="both"/>
              <w:rPr>
                <w:sz w:val="16"/>
                <w:szCs w:val="16"/>
              </w:rPr>
            </w:pPr>
            <w:r w:rsidRPr="00531545">
              <w:rPr>
                <w:sz w:val="16"/>
                <w:szCs w:val="16"/>
              </w:rPr>
              <w:t>Pri stanovení pôvodnej cieľovej hodnoty v členení na MRR a VRR sa predpokladalo, že Bratislava bude epicentrom pandémie a tzv. červenou zónou vzhľadom na koncentráciu počtu obyvateľov, polohu Bratislavy (hranice s Rakúskom a Maďarskom a s tým súvisiaci zvýšený pohyb obyvateľstva), ako aj zo skúseností iných metropol Európskej únie. Vývoj pandémie na Slovensku však ukázal, že rizikovými a najviac postihnutými regiónmi boli a sú práve oblasti menej rozvinutého regiónu (napr. východné Slovensko, Kysuce a pod.), na čo MZ SR promptne zareagovalo a poskytlo viac prostriedkov pre MRR za účelom  zabezpečiť pre nemocnice v rámci MRR dostatočný počet ventilátor tak, aby boli schopné poskytnúť adekvátnu a kvalitnú zdravotnú starostlivosť čo najväčšiemu počtu nakazených pacientov a predísť tak vysokej úmrtnosti. Súhrnne počet zakúpených ventilátorov za oba regióny (407 pre MRR + 32 pre VRR) výrazne prekročil pôvodnú súhrnnú cieľovú hodnotu (pôvodne 180 pre MRR + 120 pre VRR) z prostriedkov EŠIF, avšak v inom pomere pre jednotlivé regióny ako reakcia na vývoj epidemiologickej situácie a skutočné epicentrá na Slovensku.</w:t>
            </w:r>
          </w:p>
        </w:tc>
      </w:tr>
      <w:tr w:rsidR="000A5DBD" w:rsidRPr="00531545" w14:paraId="4ACC128C" w14:textId="77777777" w:rsidTr="00597B23">
        <w:trPr>
          <w:trHeight w:val="2920"/>
        </w:trPr>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5B08ECBA" w14:textId="77777777" w:rsidR="000A5DBD" w:rsidRPr="00531545" w:rsidRDefault="000A5DBD" w:rsidP="00597B23">
            <w:pPr>
              <w:spacing w:before="40" w:after="40" w:line="20" w:lineRule="atLeast"/>
              <w:rPr>
                <w:bCs/>
                <w:sz w:val="16"/>
                <w:szCs w:val="16"/>
              </w:rPr>
            </w:pPr>
            <w:r w:rsidRPr="00531545">
              <w:rPr>
                <w:sz w:val="16"/>
                <w:szCs w:val="16"/>
              </w:rPr>
              <w:lastRenderedPageBreak/>
              <w:t>CV7</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006E8F6A" w14:textId="77777777" w:rsidR="000A5DBD" w:rsidRPr="00531545" w:rsidRDefault="000A5DBD" w:rsidP="00597B23">
            <w:pPr>
              <w:spacing w:before="40" w:after="40" w:line="20" w:lineRule="atLeast"/>
              <w:rPr>
                <w:sz w:val="16"/>
                <w:szCs w:val="16"/>
              </w:rPr>
            </w:pPr>
            <w:r w:rsidRPr="00531545">
              <w:rPr>
                <w:sz w:val="16"/>
                <w:szCs w:val="16"/>
              </w:rPr>
              <w:t>Ventilátory na podporu liečby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2C8081F1" w14:textId="77777777" w:rsidR="000A5DBD" w:rsidRPr="00531545" w:rsidRDefault="000A5DBD" w:rsidP="00597B23">
            <w:pPr>
              <w:spacing w:before="40" w:after="40" w:line="20" w:lineRule="atLeast"/>
              <w:jc w:val="center"/>
              <w:rPr>
                <w:sz w:val="16"/>
                <w:szCs w:val="16"/>
              </w:rPr>
            </w:pPr>
            <w:r w:rsidRPr="00531545">
              <w:rPr>
                <w:bCs/>
                <w:sz w:val="16"/>
                <w:szCs w:val="16"/>
              </w:rPr>
              <w:t>počet</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905C960"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4E0B5083" w14:textId="77777777" w:rsidR="000A5DBD" w:rsidRPr="00531545" w:rsidRDefault="000A5DBD" w:rsidP="00597B23">
            <w:pPr>
              <w:spacing w:before="40" w:after="40" w:line="20" w:lineRule="atLeast"/>
              <w:jc w:val="center"/>
              <w:rPr>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231C91A6"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1A0C61E7"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814912A" w14:textId="77777777" w:rsidR="000A5DBD" w:rsidRPr="00531545" w:rsidRDefault="000A5DBD" w:rsidP="00597B23">
            <w:pPr>
              <w:spacing w:before="40" w:after="40" w:line="20" w:lineRule="atLeast"/>
              <w:jc w:val="center"/>
              <w:rPr>
                <w:sz w:val="16"/>
                <w:szCs w:val="16"/>
              </w:rPr>
            </w:pPr>
            <w:r w:rsidRPr="00531545">
              <w:rPr>
                <w:sz w:val="16"/>
                <w:szCs w:val="16"/>
              </w:rPr>
              <w:t>32</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811E593"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61A13921" w14:textId="77777777" w:rsidR="000A5DBD" w:rsidRPr="00531545" w:rsidRDefault="000A5DBD" w:rsidP="00597B23">
            <w:pPr>
              <w:spacing w:before="40" w:after="40" w:line="20" w:lineRule="atLeast"/>
              <w:jc w:val="center"/>
              <w:rPr>
                <w:sz w:val="16"/>
                <w:szCs w:val="16"/>
              </w:rPr>
            </w:pPr>
            <w:r w:rsidRPr="00531545">
              <w:rPr>
                <w:bCs/>
                <w:sz w:val="16"/>
                <w:szCs w:val="16"/>
              </w:rPr>
              <w:t>ročne</w:t>
            </w:r>
          </w:p>
        </w:tc>
        <w:tc>
          <w:tcPr>
            <w:tcW w:w="5745" w:type="dxa"/>
          </w:tcPr>
          <w:p w14:paraId="0119833B" w14:textId="77777777" w:rsidR="000A5DBD" w:rsidRPr="00531545" w:rsidRDefault="000A5DBD" w:rsidP="00597B23">
            <w:pPr>
              <w:spacing w:before="40" w:after="40" w:line="20" w:lineRule="atLeast"/>
              <w:jc w:val="both"/>
              <w:rPr>
                <w:sz w:val="16"/>
                <w:szCs w:val="16"/>
              </w:rPr>
            </w:pPr>
            <w:r w:rsidRPr="00531545">
              <w:rPr>
                <w:sz w:val="16"/>
                <w:szCs w:val="16"/>
              </w:rPr>
              <w:t>Pri stanovení pôvodnej cieľovej hodnoty v členení na MRR a VRR sa predpokladalo, že Bratislava bude epicentrom pandémie a tzv. červenou zónou vzhľadom na koncentráciu počtu obyvateľov, polohu Bratislavy (hranice s Rakúskom a Maďarskom a s tým súvisiaci zvýšený pohyb obyvateľstva), ako aj zo skúseností iných metropol Európskej únie. Vývoj pandémie na Slovensku však ukázal, že rizikovými a najviac postihnutými regiónmi boli a sú práve oblasti menej rozvinutého regiónu (napr. východné Slovensko, Kysuce a pod.), na čo MZ SR promptne zareagovalo a poskytlo viac prostriedkov pre MRR za účelom  zabezpečiť pre nemocnice v rámci MRR dostatočný počet ventilátor tak, aby boli schopné poskytnúť adekvátnu a kvalitnú zdravotnú starostlivosť čo najväčšiemu počtu nakazených pacientov a predísť tak vysokej úmrtnosti. Súhrnne počet zakúpených ventilátorov za oba regióny (407 pre MRR + 32 pre VRR) výrazne prekročil pôvodnú súhrnnú cieľovú hodnotu (pôvodne 180 pre MRR + 120 pre VRR) z prostriedkov EŠIF, avšak v inom pomere pre jednotlivé regióny ako reakcia na vývoj epidemiologickej situácie a skutočné epicentrá na Slovensku.</w:t>
            </w:r>
          </w:p>
        </w:tc>
      </w:tr>
      <w:tr w:rsidR="000A5DBD" w:rsidRPr="00531545" w14:paraId="5316CB4C" w14:textId="77777777" w:rsidTr="00597B23">
        <w:trPr>
          <w:trHeight w:val="1813"/>
        </w:trPr>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11F073D5" w14:textId="77777777" w:rsidR="000A5DBD" w:rsidRPr="00531545" w:rsidRDefault="000A5DBD" w:rsidP="00597B23">
            <w:pPr>
              <w:spacing w:before="40" w:after="40" w:line="20" w:lineRule="atLeast"/>
              <w:rPr>
                <w:bCs/>
                <w:sz w:val="16"/>
                <w:szCs w:val="16"/>
              </w:rPr>
            </w:pPr>
            <w:r w:rsidRPr="00531545">
              <w:rPr>
                <w:sz w:val="16"/>
                <w:szCs w:val="16"/>
              </w:rPr>
              <w:t>CV10</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509871B1" w14:textId="77777777" w:rsidR="000A5DBD" w:rsidRPr="00531545" w:rsidRDefault="000A5DBD" w:rsidP="00597B23">
            <w:pPr>
              <w:spacing w:before="40" w:after="40" w:line="20" w:lineRule="atLeast"/>
              <w:rPr>
                <w:sz w:val="16"/>
                <w:szCs w:val="16"/>
              </w:rPr>
            </w:pPr>
            <w:r w:rsidRPr="00531545">
              <w:rPr>
                <w:sz w:val="16"/>
                <w:szCs w:val="16"/>
              </w:rPr>
              <w:t>Podporovaná testovacia kapacita pre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034E7FCD" w14:textId="77777777" w:rsidR="000A5DBD" w:rsidRPr="00531545" w:rsidRDefault="000A5DBD" w:rsidP="00597B23">
            <w:pPr>
              <w:spacing w:before="40" w:after="40" w:line="20" w:lineRule="atLeast"/>
              <w:jc w:val="center"/>
              <w:rPr>
                <w:sz w:val="16"/>
                <w:szCs w:val="16"/>
              </w:rPr>
            </w:pPr>
            <w:r w:rsidRPr="00531545">
              <w:rPr>
                <w:bCs/>
                <w:sz w:val="16"/>
                <w:szCs w:val="16"/>
              </w:rPr>
              <w:t>testy</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5898F8B"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3954D0EB" w14:textId="77777777" w:rsidR="000A5DBD" w:rsidRPr="00531545" w:rsidRDefault="000A5DBD" w:rsidP="00597B23">
            <w:pPr>
              <w:spacing w:before="40" w:after="40" w:line="20" w:lineRule="atLeast"/>
              <w:jc w:val="center"/>
              <w:rPr>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05DF96E0"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6DABB822"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6FC3E95C" w14:textId="77777777" w:rsidR="000A5DBD" w:rsidRPr="00531545" w:rsidRDefault="000A5DBD" w:rsidP="00597B23">
            <w:pPr>
              <w:spacing w:before="40" w:after="40" w:line="20" w:lineRule="atLeast"/>
              <w:jc w:val="center"/>
              <w:rPr>
                <w:sz w:val="16"/>
                <w:szCs w:val="16"/>
              </w:rPr>
            </w:pPr>
            <w:r w:rsidRPr="00531545">
              <w:rPr>
                <w:sz w:val="16"/>
                <w:szCs w:val="16"/>
              </w:rPr>
              <w:t>70 000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9DC55BF"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24D26CCF" w14:textId="77777777" w:rsidR="000A5DBD" w:rsidRPr="00531545" w:rsidRDefault="000A5DBD" w:rsidP="00597B23">
            <w:pPr>
              <w:spacing w:before="40" w:after="40" w:line="20" w:lineRule="atLeast"/>
              <w:jc w:val="center"/>
              <w:rPr>
                <w:sz w:val="16"/>
                <w:szCs w:val="16"/>
              </w:rPr>
            </w:pPr>
            <w:r w:rsidRPr="00531545">
              <w:rPr>
                <w:bCs/>
                <w:sz w:val="16"/>
                <w:szCs w:val="16"/>
              </w:rPr>
              <w:t>ročne</w:t>
            </w:r>
          </w:p>
        </w:tc>
        <w:tc>
          <w:tcPr>
            <w:tcW w:w="5745" w:type="dxa"/>
            <w:tcBorders>
              <w:top w:val="single" w:sz="8" w:space="0" w:color="4E67C8"/>
              <w:left w:val="single" w:sz="8" w:space="0" w:color="4E67C8"/>
              <w:right w:val="single" w:sz="8" w:space="0" w:color="4E67C8"/>
            </w:tcBorders>
          </w:tcPr>
          <w:p w14:paraId="37A514AC" w14:textId="77777777" w:rsidR="000A5DBD" w:rsidRPr="00531545" w:rsidRDefault="000A5DBD" w:rsidP="00597B23">
            <w:pPr>
              <w:spacing w:before="40" w:after="40" w:line="20" w:lineRule="atLeast"/>
              <w:jc w:val="both"/>
              <w:rPr>
                <w:sz w:val="16"/>
                <w:szCs w:val="16"/>
              </w:rPr>
            </w:pPr>
            <w:r w:rsidRPr="00531545">
              <w:rPr>
                <w:sz w:val="16"/>
                <w:szCs w:val="16"/>
              </w:rPr>
              <w:t xml:space="preserve">Cieľové hodnoty boli pôvodne stanovené pre podporené testovacie miesta a nie pre testy. Zrejme došlo k mylnej interpretácii výrazu „kapacita“. MZ SR pôvodne uvažovalo podporiť mobilné odberové miesta, ktoré by sa monitorovali prostredníctvom predmetného MÚ (57 MOM v rámci MRR + 11 MOM v rámci VRR). Vzhľadom na skutočné zameranie predmetného ukazovateľa sme pristúpili k definovaniu novej cieľovej hodnoty pre testy v zmysle definície a mernej jednotky MÚ. Stanovené hodnoty odrážajú taktiež skutočnosť, že niektoré typy výdavkov (napr. </w:t>
            </w:r>
            <w:proofErr w:type="spellStart"/>
            <w:r w:rsidRPr="00531545">
              <w:rPr>
                <w:sz w:val="16"/>
                <w:szCs w:val="16"/>
              </w:rPr>
              <w:t>Ag</w:t>
            </w:r>
            <w:proofErr w:type="spellEnd"/>
            <w:r w:rsidRPr="00531545">
              <w:rPr>
                <w:sz w:val="16"/>
                <w:szCs w:val="16"/>
              </w:rPr>
              <w:t xml:space="preserve"> testy) boli hradené zo štátneho rozpočtu, preto neboli premietnuté do cieľových hodnôt daného MÚ. </w:t>
            </w:r>
          </w:p>
        </w:tc>
      </w:tr>
      <w:tr w:rsidR="000A5DBD" w:rsidRPr="00531545" w14:paraId="419D859A"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C820105" w14:textId="77777777" w:rsidR="000A5DBD" w:rsidRPr="00531545" w:rsidRDefault="000A5DBD" w:rsidP="00597B23">
            <w:pPr>
              <w:spacing w:before="40" w:after="40" w:line="20" w:lineRule="atLeast"/>
              <w:rPr>
                <w:bCs/>
                <w:sz w:val="16"/>
                <w:szCs w:val="16"/>
              </w:rPr>
            </w:pPr>
            <w:r w:rsidRPr="00531545">
              <w:rPr>
                <w:sz w:val="16"/>
                <w:szCs w:val="16"/>
              </w:rPr>
              <w:t>CV10</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126DF190" w14:textId="77777777" w:rsidR="000A5DBD" w:rsidRPr="00531545" w:rsidRDefault="000A5DBD" w:rsidP="00597B23">
            <w:pPr>
              <w:spacing w:before="40" w:after="40" w:line="20" w:lineRule="atLeast"/>
              <w:rPr>
                <w:sz w:val="16"/>
                <w:szCs w:val="16"/>
              </w:rPr>
            </w:pPr>
            <w:r w:rsidRPr="00531545">
              <w:rPr>
                <w:sz w:val="16"/>
                <w:szCs w:val="16"/>
              </w:rPr>
              <w:t>Podporovaná testovacia kapacita pre COVID-19</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1ED8E580" w14:textId="77777777" w:rsidR="000A5DBD" w:rsidRPr="00531545" w:rsidRDefault="000A5DBD" w:rsidP="00597B23">
            <w:pPr>
              <w:spacing w:before="40" w:after="40" w:line="20" w:lineRule="atLeast"/>
              <w:jc w:val="center"/>
              <w:rPr>
                <w:sz w:val="16"/>
                <w:szCs w:val="16"/>
              </w:rPr>
            </w:pPr>
            <w:r w:rsidRPr="00531545">
              <w:rPr>
                <w:bCs/>
                <w:sz w:val="16"/>
                <w:szCs w:val="16"/>
              </w:rPr>
              <w:t>testy</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01E91E38"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6738FF17" w14:textId="77777777" w:rsidR="000A5DBD" w:rsidRPr="00531545" w:rsidRDefault="000A5DBD" w:rsidP="00597B23">
            <w:pPr>
              <w:spacing w:before="40" w:after="40" w:line="20" w:lineRule="atLeast"/>
              <w:jc w:val="center"/>
              <w:rPr>
                <w:sz w:val="16"/>
                <w:szCs w:val="16"/>
              </w:rPr>
            </w:pPr>
            <w:r w:rsidRPr="00531545">
              <w:rPr>
                <w:bCs/>
                <w:sz w:val="16"/>
                <w:szCs w:val="16"/>
              </w:rPr>
              <w:t>Viac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109F10C5"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4152FFE7"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28300C73" w14:textId="77777777" w:rsidR="000A5DBD" w:rsidRPr="00531545" w:rsidRDefault="000A5DBD" w:rsidP="00597B23">
            <w:pPr>
              <w:spacing w:before="40" w:after="40" w:line="20" w:lineRule="atLeast"/>
              <w:jc w:val="center"/>
              <w:rPr>
                <w:sz w:val="16"/>
                <w:szCs w:val="16"/>
              </w:rPr>
            </w:pPr>
            <w:r w:rsidRPr="00531545">
              <w:rPr>
                <w:sz w:val="16"/>
                <w:szCs w:val="16"/>
              </w:rPr>
              <w:t>3 500</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65A4ED9"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618FC813" w14:textId="77777777" w:rsidR="000A5DBD" w:rsidRPr="00531545" w:rsidRDefault="000A5DBD" w:rsidP="00597B23">
            <w:pPr>
              <w:spacing w:before="40" w:after="40" w:line="20" w:lineRule="atLeast"/>
              <w:jc w:val="center"/>
              <w:rPr>
                <w:sz w:val="16"/>
                <w:szCs w:val="16"/>
              </w:rPr>
            </w:pPr>
            <w:r w:rsidRPr="00531545">
              <w:rPr>
                <w:bCs/>
                <w:sz w:val="16"/>
                <w:szCs w:val="16"/>
              </w:rPr>
              <w:t>ročne</w:t>
            </w:r>
          </w:p>
        </w:tc>
        <w:tc>
          <w:tcPr>
            <w:tcW w:w="5745" w:type="dxa"/>
            <w:tcBorders>
              <w:left w:val="single" w:sz="8" w:space="0" w:color="4E67C8"/>
              <w:bottom w:val="single" w:sz="8" w:space="0" w:color="4E67C8"/>
              <w:right w:val="single" w:sz="8" w:space="0" w:color="4E67C8"/>
            </w:tcBorders>
          </w:tcPr>
          <w:p w14:paraId="63FB7AA9" w14:textId="77777777" w:rsidR="000A5DBD" w:rsidRPr="00531545" w:rsidRDefault="000A5DBD" w:rsidP="00597B23">
            <w:pPr>
              <w:spacing w:before="40" w:after="40" w:line="20" w:lineRule="atLeast"/>
              <w:jc w:val="both"/>
              <w:rPr>
                <w:sz w:val="16"/>
                <w:szCs w:val="16"/>
              </w:rPr>
            </w:pPr>
            <w:r w:rsidRPr="00531545">
              <w:rPr>
                <w:sz w:val="16"/>
                <w:szCs w:val="16"/>
              </w:rPr>
              <w:t xml:space="preserve">Cieľové hodnoty boli pôvodne stanovené pre podporené testovacie miesta a nie pre testy. Zrejme došlo k mylnej interpretácii výrazu „kapacita“. MZ SR pôvodne uvažovalo podporiť mobilné odberové miesta, ktoré by sa monitorovali prostredníctvom predmetného MÚ (57 MOM v rámci MRR + 11 MOM v rámci VRR). Vzhľadom na skutočné zameranie predmetného ukazovateľa sme pristúpili k definovaniu novej cieľovej hodnoty pre testy v zmysle definície a mernej jednotky MÚ. Stanovené hodnoty odrážajú taktiež skutočnosť, že niektoré typy výdavkov (napr. </w:t>
            </w:r>
            <w:proofErr w:type="spellStart"/>
            <w:r w:rsidRPr="00531545">
              <w:rPr>
                <w:sz w:val="16"/>
                <w:szCs w:val="16"/>
              </w:rPr>
              <w:t>Ag</w:t>
            </w:r>
            <w:proofErr w:type="spellEnd"/>
            <w:r w:rsidRPr="00531545">
              <w:rPr>
                <w:sz w:val="16"/>
                <w:szCs w:val="16"/>
              </w:rPr>
              <w:t xml:space="preserve"> testy) boli hradené zo štátneho rozpočtu, preto neboli premietnuté do cieľových hodnôt daného MÚ.</w:t>
            </w:r>
          </w:p>
        </w:tc>
      </w:tr>
      <w:tr w:rsidR="000A5DBD" w:rsidRPr="00531545" w14:paraId="264F1A35"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531B477A" w14:textId="77777777" w:rsidR="000A5DBD" w:rsidRPr="00531545" w:rsidRDefault="000A5DBD" w:rsidP="00597B23">
            <w:pPr>
              <w:spacing w:before="40" w:after="40" w:line="20" w:lineRule="atLeast"/>
              <w:rPr>
                <w:sz w:val="16"/>
                <w:szCs w:val="16"/>
              </w:rPr>
            </w:pPr>
            <w:r w:rsidRPr="00531545">
              <w:rPr>
                <w:sz w:val="16"/>
                <w:szCs w:val="16"/>
              </w:rPr>
              <w:t>CV63</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5891E7B0" w14:textId="77777777" w:rsidR="000A5DBD" w:rsidRPr="00531545" w:rsidRDefault="000A5DBD" w:rsidP="00597B23">
            <w:pPr>
              <w:spacing w:before="40" w:after="40" w:line="20" w:lineRule="atLeast"/>
              <w:rPr>
                <w:sz w:val="16"/>
                <w:szCs w:val="16"/>
              </w:rPr>
            </w:pPr>
            <w:r w:rsidRPr="00531545">
              <w:rPr>
                <w:sz w:val="16"/>
                <w:szCs w:val="16"/>
              </w:rPr>
              <w:t>Zakúpené očkovacie dávky</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70723901" w14:textId="77777777" w:rsidR="000A5DBD" w:rsidRPr="00531545" w:rsidRDefault="000A5DBD" w:rsidP="00597B23">
            <w:pPr>
              <w:spacing w:before="40" w:after="40" w:line="20" w:lineRule="atLeast"/>
              <w:jc w:val="center"/>
              <w:rPr>
                <w:bCs/>
                <w:sz w:val="16"/>
                <w:szCs w:val="16"/>
              </w:rPr>
            </w:pPr>
            <w:r w:rsidRPr="00531545">
              <w:rPr>
                <w:bCs/>
                <w:sz w:val="16"/>
                <w:szCs w:val="16"/>
              </w:rPr>
              <w:t>dávka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901D50B" w14:textId="77777777" w:rsidR="000A5DBD" w:rsidRPr="00531545" w:rsidRDefault="000A5DBD" w:rsidP="00597B23">
            <w:pPr>
              <w:spacing w:before="40" w:after="40" w:line="20" w:lineRule="atLeast"/>
              <w:jc w:val="center"/>
              <w:rPr>
                <w:sz w:val="16"/>
                <w:szCs w:val="16"/>
              </w:rPr>
            </w:pPr>
            <w:r w:rsidRPr="00531545">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0657069A" w14:textId="77777777" w:rsidR="000A5DBD" w:rsidRPr="00531545" w:rsidRDefault="000A5DBD" w:rsidP="00597B23">
            <w:pPr>
              <w:spacing w:before="40" w:after="40" w:line="20" w:lineRule="atLeast"/>
              <w:jc w:val="center"/>
              <w:rPr>
                <w:bCs/>
                <w:sz w:val="16"/>
                <w:szCs w:val="16"/>
              </w:rPr>
            </w:pPr>
            <w:r w:rsidRPr="00531545">
              <w:rPr>
                <w:bCs/>
                <w:sz w:val="16"/>
                <w:szCs w:val="16"/>
              </w:rPr>
              <w:t>Menej rozvinutý 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53A5023C"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7C538BCA" w14:textId="77777777" w:rsidR="000A5DBD" w:rsidRPr="00531545" w:rsidRDefault="000A5DBD" w:rsidP="00597B23">
            <w:pPr>
              <w:spacing w:before="40" w:after="40" w:line="20" w:lineRule="atLeast"/>
              <w:jc w:val="center"/>
              <w:rPr>
                <w:sz w:val="16"/>
                <w:szCs w:val="16"/>
              </w:rPr>
            </w:pPr>
            <w:r w:rsidRPr="00531545">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2C26B5FA" w14:textId="77777777" w:rsidR="000A5DBD" w:rsidRPr="00531545" w:rsidRDefault="000A5DBD" w:rsidP="00597B23">
            <w:pPr>
              <w:spacing w:before="40" w:after="40" w:line="20" w:lineRule="atLeast"/>
              <w:jc w:val="center"/>
              <w:rPr>
                <w:sz w:val="16"/>
                <w:szCs w:val="16"/>
              </w:rPr>
            </w:pPr>
            <w:r w:rsidRPr="00531545">
              <w:rPr>
                <w:sz w:val="16"/>
                <w:szCs w:val="16"/>
              </w:rPr>
              <w:t>1 830 655</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41FF961" w14:textId="77777777" w:rsidR="000A5DBD" w:rsidRPr="00531545" w:rsidRDefault="000A5DBD" w:rsidP="00597B23">
            <w:pPr>
              <w:spacing w:before="40" w:after="40" w:line="20" w:lineRule="atLeast"/>
              <w:jc w:val="center"/>
              <w:rPr>
                <w:sz w:val="16"/>
                <w:szCs w:val="16"/>
              </w:rPr>
            </w:pPr>
            <w:r w:rsidRPr="00531545">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39AEFBF8" w14:textId="77777777" w:rsidR="000A5DBD" w:rsidRPr="00531545" w:rsidRDefault="000A5DBD" w:rsidP="00597B23">
            <w:pPr>
              <w:spacing w:before="40" w:after="40" w:line="20" w:lineRule="atLeast"/>
              <w:jc w:val="center"/>
              <w:rPr>
                <w:bCs/>
                <w:sz w:val="16"/>
                <w:szCs w:val="16"/>
              </w:rPr>
            </w:pPr>
            <w:r w:rsidRPr="00531545">
              <w:rPr>
                <w:bCs/>
                <w:sz w:val="16"/>
                <w:szCs w:val="16"/>
              </w:rPr>
              <w:t>ročne</w:t>
            </w:r>
          </w:p>
        </w:tc>
        <w:tc>
          <w:tcPr>
            <w:tcW w:w="5745" w:type="dxa"/>
            <w:tcBorders>
              <w:left w:val="single" w:sz="8" w:space="0" w:color="4E67C8"/>
              <w:right w:val="single" w:sz="8" w:space="0" w:color="4E67C8"/>
            </w:tcBorders>
          </w:tcPr>
          <w:p w14:paraId="09052AFE" w14:textId="77777777" w:rsidR="000A5DBD" w:rsidRPr="00531545" w:rsidRDefault="000A5DBD" w:rsidP="00597B23">
            <w:pPr>
              <w:spacing w:before="40" w:after="40" w:line="20" w:lineRule="atLeast"/>
              <w:jc w:val="both"/>
              <w:rPr>
                <w:sz w:val="16"/>
                <w:szCs w:val="16"/>
              </w:rPr>
            </w:pPr>
            <w:r w:rsidRPr="00531545">
              <w:rPr>
                <w:sz w:val="16"/>
                <w:szCs w:val="16"/>
              </w:rPr>
              <w:t>Cieľové hodnoty boli pôvodne stanovené ako odhad na základe predpokladanej alokácie v rámci ŠC 2.1.4 vyčlenenej na nákup vakcín vo výške 30mil. eur (zdroje EFRR). V nadväznosti na vývoj ochorenia COVID-19 sa stalo prioritou znížiť finančné dopady na nemocnice a zabezpečiť ich nevyhnutným zdravotníckym prístrojovým vybavením, ako aj priestorovým/kapacitným vybavením (</w:t>
            </w:r>
            <w:proofErr w:type="spellStart"/>
            <w:r w:rsidRPr="00531545">
              <w:rPr>
                <w:sz w:val="16"/>
                <w:szCs w:val="16"/>
              </w:rPr>
              <w:t>reprofilizácia</w:t>
            </w:r>
            <w:proofErr w:type="spellEnd"/>
            <w:r w:rsidRPr="00531545">
              <w:rPr>
                <w:sz w:val="16"/>
                <w:szCs w:val="16"/>
              </w:rPr>
              <w:t xml:space="preserve"> lôžok) s cieľom poskytnúť primeranú zdravotnú starostlivosť čo najväčšiemu počtu </w:t>
            </w:r>
            <w:proofErr w:type="spellStart"/>
            <w:r w:rsidRPr="00531545">
              <w:rPr>
                <w:sz w:val="16"/>
                <w:szCs w:val="16"/>
              </w:rPr>
              <w:t>suspektných</w:t>
            </w:r>
            <w:proofErr w:type="spellEnd"/>
            <w:r w:rsidRPr="00531545">
              <w:rPr>
                <w:sz w:val="16"/>
                <w:szCs w:val="16"/>
              </w:rPr>
              <w:t xml:space="preserve"> a nakazených pacientov a zabrániť tak šíreniu ochorenia COVID-19, ako aj predísť vysokej úmrtnosti v dôsledku nepripravenosti nemocníc. Vzhľadom na alokáciu už vyhlásených výziev v rámci ŠC 2.1.4 a objem disponibilných zdrojov na predmetný ŠC nebolo možné na nákup vakcín vyčleniť pôvodne plánovaných 30mil eur. Jednotkové náklady na nákup jednotlivých vakcín boli očistené o príspevok z ESI, aby sa predišlo duplicitnému financovaniu. </w:t>
            </w:r>
          </w:p>
        </w:tc>
      </w:tr>
      <w:tr w:rsidR="00597B23" w:rsidRPr="00531545" w14:paraId="7A6A69C8" w14:textId="77777777" w:rsidTr="00597B23">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4A23456" w14:textId="6808CBF9" w:rsidR="00597B23" w:rsidRPr="00531545" w:rsidRDefault="00597B23" w:rsidP="00597B23">
            <w:pPr>
              <w:spacing w:before="40" w:after="40" w:line="20" w:lineRule="atLeast"/>
              <w:rPr>
                <w:sz w:val="16"/>
                <w:szCs w:val="16"/>
              </w:rPr>
            </w:pPr>
            <w:r w:rsidRPr="00CC1A0D">
              <w:rPr>
                <w:sz w:val="16"/>
                <w:szCs w:val="16"/>
              </w:rPr>
              <w:t>CV63</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3DBEBD8E" w14:textId="3486059F" w:rsidR="00597B23" w:rsidRPr="00531545" w:rsidRDefault="00597B23" w:rsidP="00597B23">
            <w:pPr>
              <w:spacing w:before="40" w:after="40" w:line="20" w:lineRule="atLeast"/>
              <w:rPr>
                <w:sz w:val="16"/>
                <w:szCs w:val="16"/>
              </w:rPr>
            </w:pPr>
            <w:r w:rsidRPr="00CC1A0D">
              <w:rPr>
                <w:bCs/>
                <w:sz w:val="16"/>
                <w:szCs w:val="16"/>
              </w:rPr>
              <w:t xml:space="preserve">Zakúpené očkovacie dávky </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14:paraId="597AC328" w14:textId="14926966" w:rsidR="00597B23" w:rsidRPr="00531545" w:rsidRDefault="00597B23" w:rsidP="00597B23">
            <w:pPr>
              <w:spacing w:before="40" w:after="40" w:line="20" w:lineRule="atLeast"/>
              <w:jc w:val="center"/>
              <w:rPr>
                <w:bCs/>
                <w:sz w:val="16"/>
                <w:szCs w:val="16"/>
              </w:rPr>
            </w:pPr>
            <w:r w:rsidRPr="00CC1A0D">
              <w:rPr>
                <w:bCs/>
                <w:sz w:val="16"/>
                <w:szCs w:val="16"/>
              </w:rPr>
              <w:t>dávka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59DB5D0" w14:textId="4FE23037" w:rsidR="00597B23" w:rsidRPr="00531545" w:rsidRDefault="00597B23" w:rsidP="00597B23">
            <w:pPr>
              <w:spacing w:before="40" w:after="40" w:line="20" w:lineRule="atLeast"/>
              <w:jc w:val="center"/>
              <w:rPr>
                <w:sz w:val="16"/>
                <w:szCs w:val="16"/>
              </w:rPr>
            </w:pPr>
            <w:r w:rsidRPr="00CC1A0D">
              <w:rPr>
                <w:sz w:val="16"/>
                <w:szCs w:val="16"/>
              </w:rPr>
              <w:t>EFRR</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14:paraId="1E54D610" w14:textId="336096BB" w:rsidR="00597B23" w:rsidRPr="00531545" w:rsidRDefault="00597B23" w:rsidP="00597B23">
            <w:pPr>
              <w:spacing w:before="40" w:after="40" w:line="20" w:lineRule="atLeast"/>
              <w:jc w:val="center"/>
              <w:rPr>
                <w:bCs/>
                <w:sz w:val="16"/>
                <w:szCs w:val="16"/>
              </w:rPr>
            </w:pPr>
            <w:r w:rsidRPr="00CC1A0D">
              <w:rPr>
                <w:bCs/>
                <w:sz w:val="16"/>
                <w:szCs w:val="16"/>
              </w:rPr>
              <w:t xml:space="preserve">Viac rozvinutý </w:t>
            </w:r>
            <w:r w:rsidRPr="00CC1A0D">
              <w:rPr>
                <w:bCs/>
                <w:sz w:val="16"/>
                <w:szCs w:val="16"/>
              </w:rPr>
              <w:lastRenderedPageBreak/>
              <w:t>región</w:t>
            </w: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14:paraId="37A4F410" w14:textId="1B835B3A" w:rsidR="00597B23" w:rsidRPr="00531545" w:rsidRDefault="00597B23" w:rsidP="00597B23">
            <w:pPr>
              <w:spacing w:before="40" w:after="40" w:line="20" w:lineRule="atLeast"/>
              <w:jc w:val="center"/>
              <w:rPr>
                <w:sz w:val="16"/>
                <w:szCs w:val="16"/>
              </w:rPr>
            </w:pPr>
            <w:r w:rsidRPr="00CC1A0D">
              <w:rPr>
                <w:sz w:val="16"/>
                <w:szCs w:val="16"/>
              </w:rPr>
              <w:lastRenderedPageBreak/>
              <w:t>N/A</w:t>
            </w:r>
          </w:p>
        </w:tc>
        <w:tc>
          <w:tcPr>
            <w:tcW w:w="918" w:type="dxa"/>
            <w:tcBorders>
              <w:top w:val="single" w:sz="8" w:space="0" w:color="4E67C8"/>
              <w:left w:val="single" w:sz="8" w:space="0" w:color="4E67C8"/>
              <w:bottom w:val="single" w:sz="8" w:space="0" w:color="4E67C8"/>
              <w:right w:val="single" w:sz="8" w:space="0" w:color="4E67C8"/>
            </w:tcBorders>
            <w:shd w:val="clear" w:color="auto" w:fill="auto"/>
          </w:tcPr>
          <w:p w14:paraId="4E33D1E5" w14:textId="194F8B00" w:rsidR="00597B23" w:rsidRPr="00531545" w:rsidRDefault="00597B23" w:rsidP="00597B23">
            <w:pPr>
              <w:spacing w:before="40" w:after="40" w:line="20" w:lineRule="atLeast"/>
              <w:jc w:val="center"/>
              <w:rPr>
                <w:sz w:val="16"/>
                <w:szCs w:val="16"/>
              </w:rPr>
            </w:pPr>
            <w:r w:rsidRPr="00CC1A0D">
              <w:rPr>
                <w:sz w:val="16"/>
                <w:szCs w:val="16"/>
              </w:rPr>
              <w:t>N/A</w:t>
            </w:r>
          </w:p>
        </w:tc>
        <w:tc>
          <w:tcPr>
            <w:tcW w:w="1209" w:type="dxa"/>
            <w:tcBorders>
              <w:top w:val="single" w:sz="8" w:space="0" w:color="4E67C8"/>
              <w:left w:val="single" w:sz="8" w:space="0" w:color="4E67C8"/>
              <w:bottom w:val="single" w:sz="8" w:space="0" w:color="4E67C8"/>
              <w:right w:val="single" w:sz="8" w:space="0" w:color="4E67C8"/>
            </w:tcBorders>
            <w:shd w:val="clear" w:color="auto" w:fill="auto"/>
          </w:tcPr>
          <w:p w14:paraId="35080DFE" w14:textId="1B944B0E" w:rsidR="00597B23" w:rsidRPr="00531545" w:rsidRDefault="00597B23" w:rsidP="00597B23">
            <w:pPr>
              <w:spacing w:before="40" w:after="40" w:line="20" w:lineRule="atLeast"/>
              <w:jc w:val="center"/>
              <w:rPr>
                <w:sz w:val="16"/>
                <w:szCs w:val="16"/>
              </w:rPr>
            </w:pPr>
            <w:r w:rsidRPr="00CC1A0D">
              <w:rPr>
                <w:sz w:val="16"/>
                <w:szCs w:val="16"/>
              </w:rPr>
              <w:t>169 492</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10D8DE9" w14:textId="23101993" w:rsidR="00597B23" w:rsidRPr="00531545" w:rsidRDefault="00597B23" w:rsidP="00597B23">
            <w:pPr>
              <w:spacing w:before="40" w:after="40" w:line="20" w:lineRule="atLeast"/>
              <w:jc w:val="center"/>
              <w:rPr>
                <w:sz w:val="16"/>
                <w:szCs w:val="16"/>
              </w:rPr>
            </w:pPr>
            <w:r w:rsidRPr="00CC1A0D">
              <w:rPr>
                <w:sz w:val="16"/>
                <w:szCs w:val="16"/>
              </w:rPr>
              <w:t>ITMS</w:t>
            </w:r>
          </w:p>
        </w:tc>
        <w:tc>
          <w:tcPr>
            <w:tcW w:w="775" w:type="dxa"/>
            <w:tcBorders>
              <w:top w:val="single" w:sz="8" w:space="0" w:color="4E67C8"/>
              <w:left w:val="single" w:sz="8" w:space="0" w:color="4E67C8"/>
              <w:bottom w:val="single" w:sz="8" w:space="0" w:color="4E67C8"/>
              <w:right w:val="single" w:sz="8" w:space="0" w:color="4E67C8"/>
            </w:tcBorders>
            <w:shd w:val="clear" w:color="auto" w:fill="auto"/>
          </w:tcPr>
          <w:p w14:paraId="5009E5CE" w14:textId="3BB1ECCD" w:rsidR="00597B23" w:rsidRPr="00531545" w:rsidRDefault="00597B23" w:rsidP="00597B23">
            <w:pPr>
              <w:spacing w:before="40" w:after="40" w:line="20" w:lineRule="atLeast"/>
              <w:jc w:val="center"/>
              <w:rPr>
                <w:bCs/>
                <w:sz w:val="16"/>
                <w:szCs w:val="16"/>
              </w:rPr>
            </w:pPr>
            <w:r w:rsidRPr="00CC1A0D">
              <w:rPr>
                <w:bCs/>
                <w:sz w:val="16"/>
                <w:szCs w:val="16"/>
              </w:rPr>
              <w:t>ročne</w:t>
            </w:r>
          </w:p>
        </w:tc>
        <w:tc>
          <w:tcPr>
            <w:tcW w:w="5745" w:type="dxa"/>
            <w:tcBorders>
              <w:left w:val="single" w:sz="8" w:space="0" w:color="4E67C8"/>
              <w:bottom w:val="single" w:sz="8" w:space="0" w:color="4E67C8"/>
              <w:right w:val="single" w:sz="8" w:space="0" w:color="4E67C8"/>
            </w:tcBorders>
          </w:tcPr>
          <w:p w14:paraId="26C1F896" w14:textId="33D64A7E" w:rsidR="00597B23" w:rsidRPr="00531545" w:rsidRDefault="00597B23" w:rsidP="00597B23">
            <w:pPr>
              <w:spacing w:before="40" w:after="40" w:line="20" w:lineRule="atLeast"/>
              <w:jc w:val="both"/>
              <w:rPr>
                <w:sz w:val="16"/>
                <w:szCs w:val="16"/>
              </w:rPr>
            </w:pPr>
            <w:r>
              <w:rPr>
                <w:sz w:val="16"/>
                <w:szCs w:val="16"/>
              </w:rPr>
              <w:t xml:space="preserve">Cieľová hodnota bola stanovené ako odhad na základe predpokladanej disponibilnej alokácie v rámci ŠC 2.1.4 vyčlenenej na nákup vakcín. Jednotkové náklady na nákup jednotlivých vakcín boli očistené o príspevok z ESI, aby sa </w:t>
            </w:r>
            <w:r>
              <w:rPr>
                <w:sz w:val="16"/>
                <w:szCs w:val="16"/>
              </w:rPr>
              <w:lastRenderedPageBreak/>
              <w:t>predišlo duplicitnému financovaniu.</w:t>
            </w:r>
          </w:p>
        </w:tc>
      </w:tr>
    </w:tbl>
    <w:p w14:paraId="38425FFD" w14:textId="77777777" w:rsidR="000A5DBD" w:rsidRDefault="000A5DBD" w:rsidP="00377D51">
      <w:pPr>
        <w:spacing w:before="80" w:after="80" w:line="245" w:lineRule="auto"/>
        <w:jc w:val="both"/>
        <w:rPr>
          <w:rFonts w:ascii="Arial Narrow" w:hAnsi="Arial Narrow"/>
          <w:color w:val="000000"/>
        </w:rPr>
      </w:pPr>
    </w:p>
    <w:p w14:paraId="5919BAEE" w14:textId="77777777" w:rsidR="000A5DBD" w:rsidRDefault="000A5DBD" w:rsidP="00377D51">
      <w:pPr>
        <w:spacing w:before="80" w:after="80" w:line="245" w:lineRule="auto"/>
        <w:jc w:val="both"/>
        <w:rPr>
          <w:rFonts w:ascii="Arial Narrow" w:hAnsi="Arial Narrow"/>
          <w:color w:val="000000"/>
        </w:rPr>
      </w:pPr>
    </w:p>
    <w:p w14:paraId="1BAE1718" w14:textId="7D4B9ED8" w:rsidR="00377D51" w:rsidRPr="00E60D12" w:rsidRDefault="00377D51" w:rsidP="00377D51">
      <w:pPr>
        <w:spacing w:before="80" w:after="80" w:line="245" w:lineRule="auto"/>
        <w:jc w:val="both"/>
        <w:rPr>
          <w:rFonts w:ascii="Arial Narrow" w:hAnsi="Arial Narrow"/>
          <w:color w:val="000000"/>
        </w:rPr>
      </w:pPr>
      <w:r w:rsidRPr="00E60D12">
        <w:rPr>
          <w:rFonts w:ascii="Arial Narrow" w:hAnsi="Arial Narrow"/>
          <w:color w:val="000000"/>
        </w:rPr>
        <w:t xml:space="preserve">Špecifický cieľ 2.2.1. Zvýšenie hrubej </w:t>
      </w:r>
      <w:proofErr w:type="spellStart"/>
      <w:r w:rsidRPr="00E60D12">
        <w:rPr>
          <w:rFonts w:ascii="Arial Narrow" w:hAnsi="Arial Narrow"/>
          <w:color w:val="000000"/>
        </w:rPr>
        <w:t>zaškolenosti</w:t>
      </w:r>
      <w:proofErr w:type="spellEnd"/>
      <w:r w:rsidRPr="00E60D12">
        <w:rPr>
          <w:rFonts w:ascii="Arial Narrow" w:hAnsi="Arial Narrow"/>
          <w:color w:val="000000"/>
        </w:rPr>
        <w:t xml:space="preserve"> detí materských škôl:</w:t>
      </w:r>
    </w:p>
    <w:tbl>
      <w:tblPr>
        <w:tblW w:w="14874"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57" w:type="dxa"/>
        </w:tblCellMar>
        <w:tblLook w:val="04A0" w:firstRow="1" w:lastRow="0" w:firstColumn="1" w:lastColumn="0" w:noHBand="0" w:noVBand="1"/>
      </w:tblPr>
      <w:tblGrid>
        <w:gridCol w:w="699"/>
        <w:gridCol w:w="1910"/>
        <w:gridCol w:w="992"/>
        <w:gridCol w:w="709"/>
        <w:gridCol w:w="1134"/>
        <w:gridCol w:w="567"/>
        <w:gridCol w:w="567"/>
        <w:gridCol w:w="850"/>
        <w:gridCol w:w="709"/>
        <w:gridCol w:w="992"/>
        <w:gridCol w:w="5745"/>
      </w:tblGrid>
      <w:tr w:rsidR="00377D51" w:rsidRPr="00531545" w14:paraId="2D218075" w14:textId="77777777" w:rsidTr="00744056">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49D5B999" w14:textId="77777777" w:rsidR="00377D51" w:rsidRPr="00531545" w:rsidRDefault="00377D51" w:rsidP="00744056">
            <w:pPr>
              <w:jc w:val="center"/>
              <w:rPr>
                <w:b/>
                <w:bCs/>
                <w:sz w:val="16"/>
                <w:szCs w:val="16"/>
              </w:rPr>
            </w:pPr>
            <w:r w:rsidRPr="00531545">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273E0B09" w14:textId="77777777" w:rsidR="00377D51" w:rsidRPr="00531545" w:rsidRDefault="00377D51" w:rsidP="00744056">
            <w:pPr>
              <w:jc w:val="center"/>
              <w:rPr>
                <w:b/>
                <w:bCs/>
                <w:sz w:val="16"/>
                <w:szCs w:val="16"/>
              </w:rPr>
            </w:pPr>
            <w:r w:rsidRPr="00531545">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123A1F28" w14:textId="77777777" w:rsidR="00377D51" w:rsidRPr="00531545" w:rsidRDefault="00377D51" w:rsidP="00744056">
            <w:pPr>
              <w:jc w:val="center"/>
              <w:rPr>
                <w:b/>
                <w:bCs/>
                <w:sz w:val="16"/>
                <w:szCs w:val="16"/>
              </w:rPr>
            </w:pPr>
            <w:r w:rsidRPr="00531545">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5AC9EE90" w14:textId="77777777" w:rsidR="00377D51" w:rsidRPr="00531545" w:rsidRDefault="00377D51" w:rsidP="00744056">
            <w:pPr>
              <w:jc w:val="center"/>
              <w:rPr>
                <w:b/>
                <w:bCs/>
                <w:sz w:val="16"/>
                <w:szCs w:val="16"/>
              </w:rPr>
            </w:pPr>
            <w:r w:rsidRPr="00531545">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0FD1EA86" w14:textId="77777777" w:rsidR="00377D51" w:rsidRPr="00531545" w:rsidRDefault="00377D51" w:rsidP="00744056">
            <w:pPr>
              <w:jc w:val="center"/>
              <w:rPr>
                <w:b/>
                <w:bCs/>
                <w:sz w:val="16"/>
                <w:szCs w:val="16"/>
              </w:rPr>
            </w:pPr>
            <w:r w:rsidRPr="00531545">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031ED2DA" w14:textId="77777777" w:rsidR="00377D51" w:rsidRPr="00531545" w:rsidRDefault="00377D51" w:rsidP="00744056">
            <w:pPr>
              <w:jc w:val="center"/>
              <w:rPr>
                <w:b/>
                <w:bCs/>
                <w:sz w:val="16"/>
                <w:szCs w:val="16"/>
              </w:rPr>
            </w:pPr>
            <w:r w:rsidRPr="00531545">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508BA333" w14:textId="77777777" w:rsidR="00377D51" w:rsidRPr="00531545" w:rsidRDefault="00377D51" w:rsidP="00744056">
            <w:pPr>
              <w:jc w:val="center"/>
              <w:rPr>
                <w:b/>
                <w:bCs/>
                <w:sz w:val="16"/>
                <w:szCs w:val="16"/>
              </w:rPr>
            </w:pPr>
            <w:r w:rsidRPr="00531545">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1800C99A" w14:textId="77777777" w:rsidR="00377D51" w:rsidRPr="00531545" w:rsidRDefault="00377D51" w:rsidP="00744056">
            <w:pPr>
              <w:jc w:val="center"/>
              <w:rPr>
                <w:b/>
                <w:bCs/>
                <w:sz w:val="16"/>
                <w:szCs w:val="16"/>
              </w:rPr>
            </w:pPr>
            <w:r w:rsidRPr="00531545">
              <w:rPr>
                <w:b/>
                <w:bCs/>
                <w:sz w:val="16"/>
                <w:szCs w:val="16"/>
              </w:rPr>
              <w:t>Frekvencia podávania správ</w:t>
            </w:r>
          </w:p>
        </w:tc>
        <w:tc>
          <w:tcPr>
            <w:tcW w:w="5745" w:type="dxa"/>
            <w:vMerge w:val="restart"/>
            <w:tcBorders>
              <w:top w:val="single" w:sz="8" w:space="0" w:color="4E67C8"/>
              <w:left w:val="single" w:sz="8" w:space="0" w:color="4E67C8"/>
              <w:right w:val="single" w:sz="8" w:space="0" w:color="4E67C8"/>
            </w:tcBorders>
            <w:vAlign w:val="center"/>
          </w:tcPr>
          <w:p w14:paraId="7142DCE7" w14:textId="77777777" w:rsidR="00377D51" w:rsidRPr="00531545" w:rsidRDefault="00377D51" w:rsidP="00744056">
            <w:pPr>
              <w:jc w:val="center"/>
              <w:rPr>
                <w:b/>
                <w:bCs/>
                <w:sz w:val="16"/>
                <w:szCs w:val="16"/>
              </w:rPr>
            </w:pPr>
            <w:r w:rsidRPr="00531545">
              <w:rPr>
                <w:b/>
                <w:bCs/>
                <w:sz w:val="16"/>
                <w:szCs w:val="16"/>
              </w:rPr>
              <w:t>Zdôvodnenie zmeny cieľovej hodnoty ukazovateľa</w:t>
            </w:r>
          </w:p>
        </w:tc>
      </w:tr>
      <w:tr w:rsidR="00377D51" w:rsidRPr="00531545" w14:paraId="21D4FB09" w14:textId="77777777" w:rsidTr="00744056">
        <w:trPr>
          <w:trHeight w:val="397"/>
        </w:trPr>
        <w:tc>
          <w:tcPr>
            <w:tcW w:w="699" w:type="dxa"/>
            <w:vMerge/>
            <w:tcBorders>
              <w:left w:val="single" w:sz="8" w:space="0" w:color="4E67C8"/>
              <w:bottom w:val="single" w:sz="18" w:space="0" w:color="4E67C8"/>
              <w:right w:val="single" w:sz="8" w:space="0" w:color="4E67C8"/>
            </w:tcBorders>
            <w:shd w:val="clear" w:color="auto" w:fill="auto"/>
          </w:tcPr>
          <w:p w14:paraId="7949C9C3" w14:textId="77777777" w:rsidR="00377D51" w:rsidRPr="00531545" w:rsidRDefault="00377D51" w:rsidP="00744056">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1ECE4610" w14:textId="77777777" w:rsidR="00377D51" w:rsidRPr="00531545" w:rsidRDefault="00377D51" w:rsidP="00744056">
            <w:pPr>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6A628FFA" w14:textId="77777777" w:rsidR="00377D51" w:rsidRPr="00531545" w:rsidRDefault="00377D51" w:rsidP="00744056">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623A648D" w14:textId="77777777" w:rsidR="00377D51" w:rsidRPr="00531545" w:rsidRDefault="00377D51" w:rsidP="00744056">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7530634A" w14:textId="77777777" w:rsidR="00377D51" w:rsidRPr="00531545" w:rsidRDefault="00377D51" w:rsidP="00744056">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C5E0791" w14:textId="77777777" w:rsidR="00377D51" w:rsidRPr="00531545" w:rsidRDefault="00377D51" w:rsidP="00744056">
            <w:pPr>
              <w:jc w:val="center"/>
              <w:rPr>
                <w:b/>
                <w:bCs/>
                <w:sz w:val="16"/>
                <w:szCs w:val="16"/>
              </w:rPr>
            </w:pPr>
            <w:r w:rsidRPr="00531545">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E551EEB" w14:textId="77777777" w:rsidR="00377D51" w:rsidRPr="00531545" w:rsidRDefault="00377D51" w:rsidP="00744056">
            <w:pPr>
              <w:jc w:val="center"/>
              <w:rPr>
                <w:b/>
                <w:bCs/>
                <w:sz w:val="16"/>
                <w:szCs w:val="16"/>
              </w:rPr>
            </w:pPr>
            <w:r w:rsidRPr="00531545">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28FDDA9" w14:textId="77777777" w:rsidR="00377D51" w:rsidRPr="00531545" w:rsidRDefault="00377D51" w:rsidP="00744056">
            <w:pPr>
              <w:jc w:val="center"/>
              <w:rPr>
                <w:b/>
                <w:bCs/>
                <w:sz w:val="16"/>
                <w:szCs w:val="16"/>
              </w:rPr>
            </w:pPr>
            <w:r w:rsidRPr="00531545">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24377064" w14:textId="77777777" w:rsidR="00377D51" w:rsidRPr="00531545" w:rsidRDefault="00377D51" w:rsidP="00744056">
            <w:pPr>
              <w:rPr>
                <w:b/>
                <w:bCs/>
                <w:sz w:val="16"/>
                <w:szCs w:val="16"/>
              </w:rPr>
            </w:pPr>
          </w:p>
        </w:tc>
        <w:tc>
          <w:tcPr>
            <w:tcW w:w="992" w:type="dxa"/>
            <w:vMerge/>
            <w:tcBorders>
              <w:left w:val="single" w:sz="8" w:space="0" w:color="4E67C8"/>
              <w:bottom w:val="single" w:sz="18" w:space="0" w:color="4E67C8"/>
              <w:right w:val="single" w:sz="8" w:space="0" w:color="4E67C8"/>
            </w:tcBorders>
          </w:tcPr>
          <w:p w14:paraId="7DDF778D" w14:textId="77777777" w:rsidR="00377D51" w:rsidRPr="00531545" w:rsidRDefault="00377D51" w:rsidP="00744056">
            <w:pPr>
              <w:rPr>
                <w:b/>
                <w:bCs/>
                <w:sz w:val="16"/>
                <w:szCs w:val="16"/>
              </w:rPr>
            </w:pPr>
          </w:p>
        </w:tc>
        <w:tc>
          <w:tcPr>
            <w:tcW w:w="5745" w:type="dxa"/>
            <w:vMerge/>
            <w:tcBorders>
              <w:left w:val="single" w:sz="8" w:space="0" w:color="4E67C8"/>
              <w:bottom w:val="single" w:sz="18" w:space="0" w:color="4E67C8"/>
              <w:right w:val="single" w:sz="8" w:space="0" w:color="4E67C8"/>
            </w:tcBorders>
          </w:tcPr>
          <w:p w14:paraId="00FA6A84" w14:textId="77777777" w:rsidR="00377D51" w:rsidRPr="00531545" w:rsidRDefault="00377D51" w:rsidP="00744056">
            <w:pPr>
              <w:rPr>
                <w:b/>
                <w:bCs/>
                <w:sz w:val="16"/>
                <w:szCs w:val="16"/>
              </w:rPr>
            </w:pPr>
          </w:p>
        </w:tc>
      </w:tr>
      <w:tr w:rsidR="00377D51" w:rsidRPr="00531545" w14:paraId="27E04A3D"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02AF3AC7" w14:textId="77777777" w:rsidR="00377D51" w:rsidRPr="00531545" w:rsidRDefault="00377D51" w:rsidP="00744056">
            <w:pPr>
              <w:spacing w:beforeLines="40" w:before="96" w:afterLines="40" w:after="96" w:line="245" w:lineRule="auto"/>
              <w:rPr>
                <w:sz w:val="16"/>
                <w:szCs w:val="16"/>
              </w:rPr>
            </w:pPr>
            <w:r w:rsidRPr="007A4DA2">
              <w:rPr>
                <w:sz w:val="16"/>
                <w:szCs w:val="16"/>
              </w:rPr>
              <w:t>O0226</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176E8D3E" w14:textId="77777777" w:rsidR="00377D51" w:rsidRPr="00531545" w:rsidRDefault="00377D51" w:rsidP="00744056">
            <w:pPr>
              <w:spacing w:beforeLines="40" w:before="96" w:afterLines="40" w:after="96" w:line="245" w:lineRule="auto"/>
              <w:rPr>
                <w:sz w:val="16"/>
                <w:szCs w:val="16"/>
              </w:rPr>
            </w:pPr>
            <w:r w:rsidRPr="007A4DA2">
              <w:rPr>
                <w:sz w:val="16"/>
                <w:szCs w:val="16"/>
              </w:rPr>
              <w:t>Počet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72D546A"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10C20E9"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578E41"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EF942BC"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B81E829"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1B439C6" w14:textId="77777777" w:rsidR="00377D51" w:rsidRPr="00347F82" w:rsidDel="00967649" w:rsidRDefault="00377D51" w:rsidP="00744056">
            <w:pPr>
              <w:spacing w:beforeLines="40" w:before="96" w:afterLines="40" w:after="96" w:line="245" w:lineRule="auto"/>
              <w:jc w:val="center"/>
              <w:rPr>
                <w:bCs/>
                <w:sz w:val="16"/>
                <w:szCs w:val="16"/>
              </w:rPr>
            </w:pPr>
            <w:r w:rsidRPr="00347F82">
              <w:rPr>
                <w:bCs/>
                <w:sz w:val="16"/>
                <w:szCs w:val="16"/>
              </w:rPr>
              <w:t>51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A192257"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475366"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ročne</w:t>
            </w:r>
          </w:p>
        </w:tc>
        <w:tc>
          <w:tcPr>
            <w:tcW w:w="5745" w:type="dxa"/>
          </w:tcPr>
          <w:p w14:paraId="08574A32" w14:textId="77777777" w:rsidR="00377D51" w:rsidRPr="00B63965" w:rsidRDefault="00377D51" w:rsidP="00744056">
            <w:pPr>
              <w:spacing w:line="245" w:lineRule="auto"/>
              <w:jc w:val="both"/>
              <w:rPr>
                <w:sz w:val="16"/>
                <w:szCs w:val="16"/>
              </w:rPr>
            </w:pPr>
            <w:r w:rsidRPr="00B63965">
              <w:rPr>
                <w:sz w:val="16"/>
                <w:szCs w:val="16"/>
              </w:rPr>
              <w:t>Dôvodom navýšenia cieľovej hodnoty je dodatočné navýšenie zdrojov pre viac rozvinutý región v rámci ŠC 2.2.1</w:t>
            </w:r>
            <w:r>
              <w:rPr>
                <w:sz w:val="16"/>
                <w:szCs w:val="16"/>
              </w:rPr>
              <w:t xml:space="preserve"> v objeme </w:t>
            </w:r>
            <w:r w:rsidRPr="00B63965">
              <w:rPr>
                <w:sz w:val="16"/>
                <w:szCs w:val="16"/>
              </w:rPr>
              <w:t xml:space="preserve">8 mil. EUR. </w:t>
            </w:r>
          </w:p>
          <w:p w14:paraId="17C62759" w14:textId="77777777" w:rsidR="00377D51" w:rsidRPr="00531545" w:rsidRDefault="00377D51" w:rsidP="00744056">
            <w:pPr>
              <w:spacing w:beforeLines="40" w:before="96" w:afterLines="40" w:after="96" w:line="245" w:lineRule="auto"/>
              <w:jc w:val="both"/>
              <w:rPr>
                <w:sz w:val="16"/>
                <w:szCs w:val="16"/>
              </w:rPr>
            </w:pPr>
            <w:r w:rsidRPr="007A4DA2">
              <w:rPr>
                <w:sz w:val="16"/>
                <w:szCs w:val="16"/>
              </w:rPr>
              <w:t xml:space="preserve">K 1.12.2021 je </w:t>
            </w:r>
            <w:r>
              <w:rPr>
                <w:sz w:val="16"/>
                <w:szCs w:val="16"/>
              </w:rPr>
              <w:t xml:space="preserve">uspokojený dopyt územia pri </w:t>
            </w:r>
            <w:r w:rsidRPr="007A4DA2">
              <w:rPr>
                <w:sz w:val="16"/>
                <w:szCs w:val="16"/>
              </w:rPr>
              <w:t xml:space="preserve">38 materských </w:t>
            </w:r>
            <w:r>
              <w:rPr>
                <w:sz w:val="16"/>
                <w:szCs w:val="16"/>
              </w:rPr>
              <w:t xml:space="preserve">školách, pričom dopyt územia v tejto oblasti pretrváva, RO pre IROP odhaduje dodatočne uspokojiť min. </w:t>
            </w:r>
            <w:r w:rsidRPr="007A4DA2">
              <w:rPr>
                <w:sz w:val="16"/>
                <w:szCs w:val="16"/>
              </w:rPr>
              <w:t>13 materských škôl (vychádzajúc z priemeru rozpočtu na jednu podporenú matersk</w:t>
            </w:r>
            <w:r>
              <w:rPr>
                <w:sz w:val="16"/>
                <w:szCs w:val="16"/>
              </w:rPr>
              <w:t>ú</w:t>
            </w:r>
            <w:r w:rsidRPr="007A4DA2">
              <w:rPr>
                <w:sz w:val="16"/>
                <w:szCs w:val="16"/>
              </w:rPr>
              <w:t xml:space="preserve"> šk</w:t>
            </w:r>
            <w:r>
              <w:rPr>
                <w:sz w:val="16"/>
                <w:szCs w:val="16"/>
              </w:rPr>
              <w:t>olu</w:t>
            </w:r>
            <w:r w:rsidRPr="007A4DA2">
              <w:rPr>
                <w:sz w:val="16"/>
                <w:szCs w:val="16"/>
              </w:rPr>
              <w:t xml:space="preserve"> 0,8 mil</w:t>
            </w:r>
            <w:r>
              <w:rPr>
                <w:sz w:val="16"/>
                <w:szCs w:val="16"/>
              </w:rPr>
              <w:t>.</w:t>
            </w:r>
            <w:r w:rsidRPr="007A4DA2">
              <w:rPr>
                <w:sz w:val="16"/>
                <w:szCs w:val="16"/>
              </w:rPr>
              <w:t xml:space="preserve"> EUR)</w:t>
            </w:r>
            <w:r>
              <w:rPr>
                <w:sz w:val="16"/>
                <w:szCs w:val="16"/>
              </w:rPr>
              <w:t xml:space="preserve">. </w:t>
            </w:r>
          </w:p>
        </w:tc>
      </w:tr>
      <w:tr w:rsidR="00377D51" w:rsidRPr="00531545" w14:paraId="10E1B2A1"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28CD5E2" w14:textId="77777777" w:rsidR="00377D51" w:rsidRPr="00531545" w:rsidRDefault="00377D51" w:rsidP="00744056">
            <w:pPr>
              <w:spacing w:beforeLines="40" w:before="96" w:afterLines="40" w:after="96" w:line="245" w:lineRule="auto"/>
              <w:rPr>
                <w:sz w:val="16"/>
                <w:szCs w:val="16"/>
              </w:rPr>
            </w:pPr>
            <w:r w:rsidRPr="007A4DA2">
              <w:rPr>
                <w:sz w:val="16"/>
                <w:szCs w:val="16"/>
              </w:rPr>
              <w:t>O0171</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4FF62321" w14:textId="77777777" w:rsidR="00377D51" w:rsidRPr="00531545" w:rsidRDefault="00377D51" w:rsidP="00744056">
            <w:pPr>
              <w:spacing w:beforeLines="40" w:before="96" w:afterLines="40" w:after="96" w:line="245" w:lineRule="auto"/>
              <w:rPr>
                <w:sz w:val="16"/>
                <w:szCs w:val="16"/>
              </w:rPr>
            </w:pPr>
            <w:r w:rsidRPr="007A4DA2">
              <w:rPr>
                <w:sz w:val="16"/>
                <w:szCs w:val="16"/>
              </w:rPr>
              <w:t>Kapacita podporených MŠ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30AE95A3"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osoba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34AF503A"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44A59BE2"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05A0CA3"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9A39365"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4CA675B8" w14:textId="77777777" w:rsidR="00377D51" w:rsidRPr="00517C8C" w:rsidDel="00967649" w:rsidRDefault="00377D51" w:rsidP="00744056">
            <w:pPr>
              <w:spacing w:beforeLines="40" w:before="96" w:afterLines="40" w:after="96" w:line="245" w:lineRule="auto"/>
              <w:jc w:val="center"/>
              <w:rPr>
                <w:bCs/>
                <w:sz w:val="16"/>
                <w:szCs w:val="16"/>
              </w:rPr>
            </w:pPr>
            <w:r w:rsidRPr="00517C8C">
              <w:rPr>
                <w:sz w:val="16"/>
                <w:szCs w:val="16"/>
              </w:rPr>
              <w:t>2 940</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28FEE07F"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54F73B02"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ročne</w:t>
            </w:r>
          </w:p>
        </w:tc>
        <w:tc>
          <w:tcPr>
            <w:tcW w:w="5745" w:type="dxa"/>
          </w:tcPr>
          <w:p w14:paraId="2B9F9185" w14:textId="77777777" w:rsidR="00377D51" w:rsidRPr="00B63965" w:rsidRDefault="00377D51" w:rsidP="00744056">
            <w:pPr>
              <w:spacing w:line="245" w:lineRule="auto"/>
              <w:jc w:val="both"/>
              <w:rPr>
                <w:sz w:val="16"/>
                <w:szCs w:val="16"/>
              </w:rPr>
            </w:pPr>
            <w:r w:rsidRPr="00B63965">
              <w:rPr>
                <w:sz w:val="16"/>
                <w:szCs w:val="16"/>
              </w:rPr>
              <w:t>Dôvodom navýšenia cieľovej hodnoty je dodatočné navýšenie zdrojov pre viac rozvinutý región v rámci ŠC 2.2.1</w:t>
            </w:r>
            <w:r>
              <w:rPr>
                <w:sz w:val="16"/>
                <w:szCs w:val="16"/>
              </w:rPr>
              <w:t xml:space="preserve"> v objeme </w:t>
            </w:r>
            <w:r w:rsidRPr="00B63965">
              <w:rPr>
                <w:sz w:val="16"/>
                <w:szCs w:val="16"/>
              </w:rPr>
              <w:t xml:space="preserve">8 mil. EUR. </w:t>
            </w:r>
          </w:p>
          <w:p w14:paraId="239E7455" w14:textId="77777777" w:rsidR="00377D51" w:rsidRPr="00531545" w:rsidRDefault="00377D51" w:rsidP="00744056">
            <w:pPr>
              <w:spacing w:beforeLines="40" w:before="96" w:afterLines="40" w:after="96" w:line="245" w:lineRule="auto"/>
              <w:jc w:val="both"/>
              <w:rPr>
                <w:sz w:val="16"/>
                <w:szCs w:val="16"/>
              </w:rPr>
            </w:pPr>
            <w:r w:rsidRPr="00B64474">
              <w:rPr>
                <w:sz w:val="16"/>
                <w:szCs w:val="16"/>
              </w:rPr>
              <w:t>V rámci plánovanej výzvy RO pre IROP predpokladá navýšenie o</w:t>
            </w:r>
            <w:r>
              <w:rPr>
                <w:sz w:val="16"/>
                <w:szCs w:val="16"/>
              </w:rPr>
              <w:t> </w:t>
            </w:r>
            <w:r w:rsidRPr="00B64474">
              <w:rPr>
                <w:sz w:val="16"/>
                <w:szCs w:val="16"/>
              </w:rPr>
              <w:t>1</w:t>
            </w:r>
            <w:r>
              <w:rPr>
                <w:sz w:val="16"/>
                <w:szCs w:val="16"/>
              </w:rPr>
              <w:t> </w:t>
            </w:r>
            <w:r w:rsidRPr="00B64474">
              <w:rPr>
                <w:sz w:val="16"/>
                <w:szCs w:val="16"/>
              </w:rPr>
              <w:t xml:space="preserve">700 kapacít v </w:t>
            </w:r>
            <w:r w:rsidRPr="007A4DA2">
              <w:rPr>
                <w:sz w:val="16"/>
                <w:szCs w:val="16"/>
              </w:rPr>
              <w:t>materských šk</w:t>
            </w:r>
            <w:r>
              <w:rPr>
                <w:sz w:val="16"/>
                <w:szCs w:val="16"/>
              </w:rPr>
              <w:t xml:space="preserve">olách </w:t>
            </w:r>
            <w:r w:rsidRPr="00B64474">
              <w:rPr>
                <w:sz w:val="16"/>
                <w:szCs w:val="16"/>
              </w:rPr>
              <w:t>(vychádzajúc z priemeru schválenej čiastky na jedno podporené miesto v </w:t>
            </w:r>
            <w:r w:rsidRPr="007A4DA2">
              <w:rPr>
                <w:sz w:val="16"/>
                <w:szCs w:val="16"/>
              </w:rPr>
              <w:t>materských šk</w:t>
            </w:r>
            <w:r>
              <w:rPr>
                <w:sz w:val="16"/>
                <w:szCs w:val="16"/>
              </w:rPr>
              <w:t>olách</w:t>
            </w:r>
            <w:r w:rsidRPr="00B64474">
              <w:rPr>
                <w:sz w:val="16"/>
                <w:szCs w:val="16"/>
              </w:rPr>
              <w:t xml:space="preserve"> (4600 EUR). </w:t>
            </w:r>
          </w:p>
        </w:tc>
      </w:tr>
      <w:tr w:rsidR="00377D51" w:rsidRPr="00531545" w14:paraId="7C24236E"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D8E847C" w14:textId="77777777" w:rsidR="00377D51" w:rsidRPr="00531545" w:rsidRDefault="00377D51" w:rsidP="00744056">
            <w:pPr>
              <w:spacing w:beforeLines="40" w:before="96" w:afterLines="40" w:after="96" w:line="245" w:lineRule="auto"/>
              <w:rPr>
                <w:sz w:val="16"/>
                <w:szCs w:val="16"/>
              </w:rPr>
            </w:pPr>
            <w:r w:rsidRPr="007A4DA2">
              <w:rPr>
                <w:sz w:val="16"/>
                <w:szCs w:val="16"/>
              </w:rPr>
              <w:t>CO35</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7D5327" w14:textId="77777777" w:rsidR="00377D51" w:rsidRPr="00531545" w:rsidRDefault="00377D51" w:rsidP="00744056">
            <w:pPr>
              <w:spacing w:beforeLines="40" w:before="96" w:afterLines="40" w:after="96" w:line="245" w:lineRule="auto"/>
              <w:rPr>
                <w:sz w:val="16"/>
                <w:szCs w:val="16"/>
              </w:rPr>
            </w:pPr>
            <w:r w:rsidRPr="007A4DA2">
              <w:rPr>
                <w:sz w:val="16"/>
                <w:szCs w:val="16"/>
              </w:rPr>
              <w:t>Kapacita podporenej školskej infraštruktúry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5EBCB4C"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osoba</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E2EB10"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960B774"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E6AB388"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7652CF"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C537FFA" w14:textId="77777777" w:rsidR="00377D51" w:rsidRPr="00A84145" w:rsidDel="00967649" w:rsidRDefault="00377D51" w:rsidP="00744056">
            <w:pPr>
              <w:spacing w:beforeLines="40" w:before="96" w:afterLines="40" w:after="96" w:line="245" w:lineRule="auto"/>
              <w:jc w:val="center"/>
              <w:rPr>
                <w:sz w:val="16"/>
                <w:szCs w:val="16"/>
              </w:rPr>
            </w:pPr>
            <w:r w:rsidRPr="00347F82">
              <w:rPr>
                <w:sz w:val="16"/>
                <w:szCs w:val="16"/>
              </w:rPr>
              <w:t>34 481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A617D2D"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90BFBCA"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ročne</w:t>
            </w:r>
          </w:p>
        </w:tc>
        <w:tc>
          <w:tcPr>
            <w:tcW w:w="5745" w:type="dxa"/>
          </w:tcPr>
          <w:p w14:paraId="0BC7696D" w14:textId="77777777" w:rsidR="00377D51" w:rsidRPr="00531545" w:rsidRDefault="00377D51" w:rsidP="00744056">
            <w:pPr>
              <w:spacing w:beforeLines="40" w:before="96" w:afterLines="40" w:after="96" w:line="245" w:lineRule="auto"/>
              <w:jc w:val="both"/>
              <w:rPr>
                <w:sz w:val="16"/>
                <w:szCs w:val="16"/>
              </w:rPr>
            </w:pPr>
            <w:r w:rsidRPr="00B64474">
              <w:rPr>
                <w:sz w:val="16"/>
                <w:szCs w:val="16"/>
              </w:rPr>
              <w:t xml:space="preserve">K 1.12.2021 </w:t>
            </w:r>
            <w:r w:rsidRPr="00B63965">
              <w:rPr>
                <w:sz w:val="16"/>
                <w:szCs w:val="16"/>
              </w:rPr>
              <w:t xml:space="preserve">RO pre IROP </w:t>
            </w:r>
            <w:r>
              <w:rPr>
                <w:sz w:val="16"/>
                <w:szCs w:val="16"/>
              </w:rPr>
              <w:t>uspokojil</w:t>
            </w:r>
            <w:r w:rsidRPr="00B63965">
              <w:rPr>
                <w:sz w:val="16"/>
                <w:szCs w:val="16"/>
              </w:rPr>
              <w:t xml:space="preserve"> dopyt </w:t>
            </w:r>
            <w:r w:rsidRPr="00B64474">
              <w:rPr>
                <w:sz w:val="16"/>
                <w:szCs w:val="16"/>
              </w:rPr>
              <w:t xml:space="preserve">32 781 kapacít v </w:t>
            </w:r>
            <w:r w:rsidRPr="007A4DA2">
              <w:rPr>
                <w:sz w:val="16"/>
                <w:szCs w:val="16"/>
              </w:rPr>
              <w:t>materských šk</w:t>
            </w:r>
            <w:r>
              <w:rPr>
                <w:sz w:val="16"/>
                <w:szCs w:val="16"/>
              </w:rPr>
              <w:t>o</w:t>
            </w:r>
            <w:r w:rsidRPr="007A4DA2">
              <w:rPr>
                <w:sz w:val="16"/>
                <w:szCs w:val="16"/>
              </w:rPr>
              <w:t>l</w:t>
            </w:r>
            <w:r>
              <w:rPr>
                <w:sz w:val="16"/>
                <w:szCs w:val="16"/>
              </w:rPr>
              <w:t>ách</w:t>
            </w:r>
            <w:r w:rsidRPr="00B64474">
              <w:rPr>
                <w:sz w:val="16"/>
                <w:szCs w:val="16"/>
              </w:rPr>
              <w:t>. V rámci plánovanej výzvy RO pre IROP predpokladá navýšenie o</w:t>
            </w:r>
            <w:r>
              <w:rPr>
                <w:sz w:val="16"/>
                <w:szCs w:val="16"/>
              </w:rPr>
              <w:t> </w:t>
            </w:r>
            <w:r w:rsidRPr="00B64474">
              <w:rPr>
                <w:sz w:val="16"/>
                <w:szCs w:val="16"/>
              </w:rPr>
              <w:t>1</w:t>
            </w:r>
            <w:r>
              <w:rPr>
                <w:sz w:val="16"/>
                <w:szCs w:val="16"/>
              </w:rPr>
              <w:t> </w:t>
            </w:r>
            <w:r w:rsidRPr="00B64474">
              <w:rPr>
                <w:sz w:val="16"/>
                <w:szCs w:val="16"/>
              </w:rPr>
              <w:t xml:space="preserve">700 kapacít v </w:t>
            </w:r>
            <w:r w:rsidRPr="007A4DA2">
              <w:rPr>
                <w:sz w:val="16"/>
                <w:szCs w:val="16"/>
              </w:rPr>
              <w:t>materských šk</w:t>
            </w:r>
            <w:r>
              <w:rPr>
                <w:sz w:val="16"/>
                <w:szCs w:val="16"/>
              </w:rPr>
              <w:t>olách</w:t>
            </w:r>
            <w:r w:rsidRPr="00B64474">
              <w:rPr>
                <w:sz w:val="16"/>
                <w:szCs w:val="16"/>
              </w:rPr>
              <w:t xml:space="preserve"> (vychádzajúc z priemeru schválenej čiastky na jedno podporené miesto v </w:t>
            </w:r>
            <w:r w:rsidRPr="007A4DA2">
              <w:rPr>
                <w:sz w:val="16"/>
                <w:szCs w:val="16"/>
              </w:rPr>
              <w:t>materských šk</w:t>
            </w:r>
            <w:r>
              <w:rPr>
                <w:sz w:val="16"/>
                <w:szCs w:val="16"/>
              </w:rPr>
              <w:t>olách</w:t>
            </w:r>
            <w:r w:rsidRPr="00B64474">
              <w:rPr>
                <w:sz w:val="16"/>
                <w:szCs w:val="16"/>
              </w:rPr>
              <w:t xml:space="preserve"> (4</w:t>
            </w:r>
            <w:r>
              <w:rPr>
                <w:sz w:val="16"/>
                <w:szCs w:val="16"/>
              </w:rPr>
              <w:t> </w:t>
            </w:r>
            <w:r w:rsidRPr="00B64474">
              <w:rPr>
                <w:sz w:val="16"/>
                <w:szCs w:val="16"/>
              </w:rPr>
              <w:t xml:space="preserve">600 EUR). </w:t>
            </w:r>
          </w:p>
        </w:tc>
      </w:tr>
      <w:tr w:rsidR="00377D51" w:rsidRPr="00531545" w14:paraId="1B28B136"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17032F1" w14:textId="77777777" w:rsidR="00377D51" w:rsidRPr="00531545" w:rsidRDefault="00377D51" w:rsidP="00744056">
            <w:pPr>
              <w:spacing w:beforeLines="40" w:before="96" w:afterLines="40" w:after="96" w:line="245" w:lineRule="auto"/>
              <w:rPr>
                <w:sz w:val="16"/>
                <w:szCs w:val="16"/>
              </w:rPr>
            </w:pPr>
            <w:r w:rsidRPr="007A4DA2">
              <w:rPr>
                <w:sz w:val="16"/>
                <w:szCs w:val="16"/>
              </w:rPr>
              <w:t>O0253</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5F0452" w14:textId="77777777" w:rsidR="00377D51" w:rsidRPr="00531545" w:rsidRDefault="00377D51" w:rsidP="00744056">
            <w:pPr>
              <w:spacing w:beforeLines="40" w:before="96" w:afterLines="40" w:after="96" w:line="245" w:lineRule="auto"/>
              <w:rPr>
                <w:sz w:val="16"/>
                <w:szCs w:val="16"/>
              </w:rPr>
            </w:pPr>
            <w:r w:rsidRPr="007A4DA2">
              <w:rPr>
                <w:sz w:val="16"/>
                <w:szCs w:val="16"/>
              </w:rPr>
              <w:t>Počet renovovaných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0357D2F"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101ACF"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7E173E1"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F27622A"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4EDE6E3"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5BF4F3B" w14:textId="77777777" w:rsidR="00377D51" w:rsidRPr="00347F82" w:rsidDel="00967649" w:rsidRDefault="00377D51" w:rsidP="00744056">
            <w:pPr>
              <w:spacing w:beforeLines="40" w:before="96" w:afterLines="40" w:after="96" w:line="245" w:lineRule="auto"/>
              <w:jc w:val="center"/>
              <w:rPr>
                <w:bCs/>
                <w:sz w:val="16"/>
                <w:szCs w:val="16"/>
              </w:rPr>
            </w:pPr>
            <w:r>
              <w:rPr>
                <w:bCs/>
                <w:sz w:val="16"/>
                <w:szCs w:val="16"/>
              </w:rPr>
              <w:t>57</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4F7030" w14:textId="77777777" w:rsidR="00377D51" w:rsidRPr="007A4DA2" w:rsidRDefault="00377D51" w:rsidP="00744056">
            <w:pPr>
              <w:spacing w:beforeLines="40" w:before="96" w:afterLines="40" w:after="96" w:line="245" w:lineRule="auto"/>
              <w:jc w:val="center"/>
              <w:rPr>
                <w:bCs/>
                <w:sz w:val="16"/>
                <w:szCs w:val="16"/>
              </w:rPr>
            </w:pPr>
            <w:r w:rsidRPr="007A4DA2">
              <w:rPr>
                <w:bCs/>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D8FAE8A" w14:textId="77777777" w:rsidR="00377D51" w:rsidRPr="00531545" w:rsidRDefault="00377D51" w:rsidP="00744056">
            <w:pPr>
              <w:spacing w:beforeLines="40" w:before="96" w:afterLines="40" w:after="96" w:line="245" w:lineRule="auto"/>
              <w:jc w:val="center"/>
              <w:rPr>
                <w:bCs/>
                <w:sz w:val="16"/>
                <w:szCs w:val="16"/>
              </w:rPr>
            </w:pPr>
            <w:r w:rsidRPr="007A4DA2">
              <w:rPr>
                <w:bCs/>
                <w:sz w:val="16"/>
                <w:szCs w:val="16"/>
              </w:rPr>
              <w:t>ročne</w:t>
            </w:r>
          </w:p>
        </w:tc>
        <w:tc>
          <w:tcPr>
            <w:tcW w:w="5745" w:type="dxa"/>
          </w:tcPr>
          <w:p w14:paraId="7C27BA72" w14:textId="77777777" w:rsidR="00377D51" w:rsidRPr="00531545" w:rsidRDefault="00377D51" w:rsidP="00744056">
            <w:pPr>
              <w:spacing w:beforeLines="40" w:before="96" w:afterLines="40" w:after="96" w:line="245" w:lineRule="auto"/>
              <w:jc w:val="both"/>
              <w:rPr>
                <w:sz w:val="16"/>
                <w:szCs w:val="16"/>
              </w:rPr>
            </w:pPr>
            <w:r w:rsidRPr="00B64474">
              <w:rPr>
                <w:sz w:val="16"/>
                <w:szCs w:val="16"/>
              </w:rPr>
              <w:t xml:space="preserve">K 1.12.2021 </w:t>
            </w:r>
            <w:r w:rsidRPr="00B63965">
              <w:rPr>
                <w:sz w:val="16"/>
                <w:szCs w:val="16"/>
              </w:rPr>
              <w:t xml:space="preserve">RO pre IROP </w:t>
            </w:r>
            <w:r>
              <w:rPr>
                <w:sz w:val="16"/>
                <w:szCs w:val="16"/>
              </w:rPr>
              <w:t>pokryl</w:t>
            </w:r>
            <w:r w:rsidRPr="00B63965">
              <w:rPr>
                <w:sz w:val="16"/>
                <w:szCs w:val="16"/>
              </w:rPr>
              <w:t xml:space="preserve"> dopyt </w:t>
            </w:r>
            <w:r>
              <w:rPr>
                <w:sz w:val="16"/>
                <w:szCs w:val="16"/>
              </w:rPr>
              <w:t xml:space="preserve">za </w:t>
            </w:r>
            <w:r w:rsidRPr="00B64474">
              <w:rPr>
                <w:sz w:val="16"/>
                <w:szCs w:val="16"/>
              </w:rPr>
              <w:t>44 budov</w:t>
            </w:r>
            <w:r>
              <w:rPr>
                <w:sz w:val="16"/>
                <w:szCs w:val="16"/>
              </w:rPr>
              <w:t>.</w:t>
            </w:r>
            <w:r w:rsidRPr="00B64474">
              <w:rPr>
                <w:sz w:val="16"/>
                <w:szCs w:val="16"/>
              </w:rPr>
              <w:t xml:space="preserve"> V rámci plánovanej výzvy RO pre IROP predpokladá 13 podporených </w:t>
            </w:r>
            <w:r w:rsidRPr="007A4DA2">
              <w:rPr>
                <w:sz w:val="16"/>
                <w:szCs w:val="16"/>
              </w:rPr>
              <w:t>materských škôl</w:t>
            </w:r>
            <w:r w:rsidRPr="00B64474">
              <w:rPr>
                <w:sz w:val="16"/>
                <w:szCs w:val="16"/>
              </w:rPr>
              <w:t xml:space="preserve"> (budov) (vychádzajúc z priemeru rozpočtu na jednu podporenú </w:t>
            </w:r>
            <w:r w:rsidRPr="007A4DA2">
              <w:rPr>
                <w:sz w:val="16"/>
                <w:szCs w:val="16"/>
              </w:rPr>
              <w:t>matersk</w:t>
            </w:r>
            <w:r>
              <w:rPr>
                <w:sz w:val="16"/>
                <w:szCs w:val="16"/>
              </w:rPr>
              <w:t>ú</w:t>
            </w:r>
            <w:r w:rsidRPr="007A4DA2">
              <w:rPr>
                <w:sz w:val="16"/>
                <w:szCs w:val="16"/>
              </w:rPr>
              <w:t xml:space="preserve"> šk</w:t>
            </w:r>
            <w:r>
              <w:rPr>
                <w:sz w:val="16"/>
                <w:szCs w:val="16"/>
              </w:rPr>
              <w:t>olu</w:t>
            </w:r>
            <w:r w:rsidRPr="00B64474">
              <w:rPr>
                <w:sz w:val="16"/>
                <w:szCs w:val="16"/>
              </w:rPr>
              <w:t xml:space="preserve"> 0,8 mil</w:t>
            </w:r>
            <w:r>
              <w:rPr>
                <w:sz w:val="16"/>
                <w:szCs w:val="16"/>
              </w:rPr>
              <w:t>.</w:t>
            </w:r>
            <w:r w:rsidRPr="00B64474">
              <w:rPr>
                <w:sz w:val="16"/>
                <w:szCs w:val="16"/>
              </w:rPr>
              <w:t xml:space="preserve"> EUR). </w:t>
            </w:r>
          </w:p>
        </w:tc>
      </w:tr>
    </w:tbl>
    <w:p w14:paraId="03231998" w14:textId="77777777" w:rsidR="00377D51" w:rsidRDefault="00377D51" w:rsidP="00377D51">
      <w:pPr>
        <w:spacing w:before="80" w:after="80" w:line="245" w:lineRule="auto"/>
        <w:jc w:val="both"/>
        <w:rPr>
          <w:rFonts w:ascii="Arial Narrow" w:hAnsi="Arial Narrow"/>
          <w:color w:val="000000"/>
        </w:rPr>
      </w:pPr>
    </w:p>
    <w:p w14:paraId="74999FCD" w14:textId="77777777" w:rsidR="00377D51" w:rsidRDefault="00377D51" w:rsidP="00377D51">
      <w:pPr>
        <w:rPr>
          <w:rFonts w:ascii="Arial Narrow" w:hAnsi="Arial Narrow"/>
          <w:color w:val="000000"/>
        </w:rPr>
      </w:pPr>
      <w:r>
        <w:rPr>
          <w:rFonts w:ascii="Arial Narrow" w:hAnsi="Arial Narrow"/>
          <w:color w:val="000000"/>
        </w:rPr>
        <w:br w:type="page"/>
      </w:r>
    </w:p>
    <w:p w14:paraId="44947589" w14:textId="77777777" w:rsidR="00377D51" w:rsidRDefault="00377D51" w:rsidP="00377D51">
      <w:pPr>
        <w:spacing w:before="80" w:after="80" w:line="245" w:lineRule="auto"/>
        <w:jc w:val="both"/>
        <w:rPr>
          <w:rFonts w:ascii="Arial Narrow" w:hAnsi="Arial Narrow"/>
          <w:color w:val="000000"/>
        </w:rPr>
      </w:pPr>
    </w:p>
    <w:p w14:paraId="0E6DCF21" w14:textId="77777777" w:rsidR="00377D51" w:rsidRPr="00E60D12" w:rsidRDefault="00377D51" w:rsidP="00377D51">
      <w:pPr>
        <w:spacing w:before="80" w:after="120" w:line="245" w:lineRule="auto"/>
        <w:jc w:val="both"/>
        <w:rPr>
          <w:rFonts w:ascii="Arial Narrow" w:hAnsi="Arial Narrow"/>
          <w:color w:val="000000"/>
        </w:rPr>
      </w:pPr>
      <w:r w:rsidRPr="00531545">
        <w:rPr>
          <w:rFonts w:ascii="Arial Narrow" w:hAnsi="Arial Narrow"/>
          <w:color w:val="000000"/>
        </w:rPr>
        <w:t xml:space="preserve">Špecifický cieľ 3.1.: </w:t>
      </w:r>
      <w:r w:rsidRPr="00E60D12">
        <w:rPr>
          <w:rFonts w:ascii="Arial Narrow" w:hAnsi="Arial Narrow"/>
          <w:color w:val="000000"/>
        </w:rPr>
        <w:t>Stimulovanie podpory udržateľnej zamestnanosti a tvorby pracovných miest v kultúrnom a kreatívnom priemysle prostredníctvom vytvorenia priaznivého prostredia pre rozvoj kreatívneho talentu, netechnologických inovácií</w:t>
      </w:r>
    </w:p>
    <w:tbl>
      <w:tblPr>
        <w:tblW w:w="14874"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57" w:type="dxa"/>
        </w:tblCellMar>
        <w:tblLook w:val="04A0" w:firstRow="1" w:lastRow="0" w:firstColumn="1" w:lastColumn="0" w:noHBand="0" w:noVBand="1"/>
      </w:tblPr>
      <w:tblGrid>
        <w:gridCol w:w="699"/>
        <w:gridCol w:w="1910"/>
        <w:gridCol w:w="992"/>
        <w:gridCol w:w="709"/>
        <w:gridCol w:w="1134"/>
        <w:gridCol w:w="567"/>
        <w:gridCol w:w="567"/>
        <w:gridCol w:w="850"/>
        <w:gridCol w:w="709"/>
        <w:gridCol w:w="992"/>
        <w:gridCol w:w="5745"/>
      </w:tblGrid>
      <w:tr w:rsidR="00377D51" w:rsidRPr="00531545" w14:paraId="564BCB18" w14:textId="77777777" w:rsidTr="00744056">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25AFEDF8" w14:textId="77777777" w:rsidR="00377D51" w:rsidRPr="00531545" w:rsidRDefault="00377D51" w:rsidP="00744056">
            <w:pPr>
              <w:spacing w:before="40" w:after="40" w:line="245" w:lineRule="auto"/>
              <w:jc w:val="center"/>
              <w:rPr>
                <w:b/>
                <w:bCs/>
                <w:sz w:val="16"/>
                <w:szCs w:val="16"/>
              </w:rPr>
            </w:pPr>
            <w:r w:rsidRPr="00531545">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694919C9" w14:textId="77777777" w:rsidR="00377D51" w:rsidRPr="00531545" w:rsidRDefault="00377D51" w:rsidP="00744056">
            <w:pPr>
              <w:spacing w:before="40" w:after="40" w:line="245" w:lineRule="auto"/>
              <w:jc w:val="center"/>
              <w:rPr>
                <w:b/>
                <w:bCs/>
                <w:sz w:val="16"/>
                <w:szCs w:val="16"/>
              </w:rPr>
            </w:pPr>
            <w:r w:rsidRPr="00531545">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346F13EE" w14:textId="77777777" w:rsidR="00377D51" w:rsidRPr="00531545" w:rsidRDefault="00377D51" w:rsidP="00744056">
            <w:pPr>
              <w:spacing w:before="40" w:after="40" w:line="245" w:lineRule="auto"/>
              <w:jc w:val="center"/>
              <w:rPr>
                <w:b/>
                <w:bCs/>
                <w:sz w:val="16"/>
                <w:szCs w:val="16"/>
              </w:rPr>
            </w:pPr>
            <w:r w:rsidRPr="00531545">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245C581F" w14:textId="77777777" w:rsidR="00377D51" w:rsidRPr="00531545" w:rsidRDefault="00377D51" w:rsidP="00744056">
            <w:pPr>
              <w:spacing w:before="40" w:after="40" w:line="245" w:lineRule="auto"/>
              <w:jc w:val="center"/>
              <w:rPr>
                <w:b/>
                <w:bCs/>
                <w:sz w:val="16"/>
                <w:szCs w:val="16"/>
              </w:rPr>
            </w:pPr>
            <w:r w:rsidRPr="00531545">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05AD5BC1" w14:textId="77777777" w:rsidR="00377D51" w:rsidRPr="00531545" w:rsidRDefault="00377D51" w:rsidP="00744056">
            <w:pPr>
              <w:spacing w:before="40" w:after="40" w:line="245" w:lineRule="auto"/>
              <w:jc w:val="center"/>
              <w:rPr>
                <w:b/>
                <w:bCs/>
                <w:sz w:val="16"/>
                <w:szCs w:val="16"/>
              </w:rPr>
            </w:pPr>
            <w:r w:rsidRPr="00531545">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66A5C152" w14:textId="77777777" w:rsidR="00377D51" w:rsidRPr="00531545" w:rsidRDefault="00377D51" w:rsidP="00744056">
            <w:pPr>
              <w:spacing w:before="40" w:after="40" w:line="245" w:lineRule="auto"/>
              <w:jc w:val="center"/>
              <w:rPr>
                <w:b/>
                <w:bCs/>
                <w:sz w:val="16"/>
                <w:szCs w:val="16"/>
              </w:rPr>
            </w:pPr>
            <w:r w:rsidRPr="00531545">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7FF64831" w14:textId="77777777" w:rsidR="00377D51" w:rsidRPr="00531545" w:rsidRDefault="00377D51" w:rsidP="00744056">
            <w:pPr>
              <w:spacing w:before="40" w:after="40" w:line="245" w:lineRule="auto"/>
              <w:jc w:val="center"/>
              <w:rPr>
                <w:b/>
                <w:bCs/>
                <w:sz w:val="16"/>
                <w:szCs w:val="16"/>
              </w:rPr>
            </w:pPr>
            <w:r w:rsidRPr="00531545">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263C851A" w14:textId="77777777" w:rsidR="00377D51" w:rsidRPr="00531545" w:rsidRDefault="00377D51" w:rsidP="00744056">
            <w:pPr>
              <w:spacing w:before="40" w:after="40" w:line="245" w:lineRule="auto"/>
              <w:jc w:val="center"/>
              <w:rPr>
                <w:b/>
                <w:bCs/>
                <w:sz w:val="16"/>
                <w:szCs w:val="16"/>
              </w:rPr>
            </w:pPr>
            <w:r w:rsidRPr="00531545">
              <w:rPr>
                <w:b/>
                <w:bCs/>
                <w:sz w:val="16"/>
                <w:szCs w:val="16"/>
              </w:rPr>
              <w:t>Frekvencia podávania správ</w:t>
            </w:r>
          </w:p>
        </w:tc>
        <w:tc>
          <w:tcPr>
            <w:tcW w:w="5745" w:type="dxa"/>
            <w:vMerge w:val="restart"/>
            <w:tcBorders>
              <w:top w:val="single" w:sz="8" w:space="0" w:color="4E67C8"/>
              <w:left w:val="single" w:sz="8" w:space="0" w:color="4E67C8"/>
              <w:right w:val="single" w:sz="8" w:space="0" w:color="4E67C8"/>
            </w:tcBorders>
            <w:vAlign w:val="center"/>
          </w:tcPr>
          <w:p w14:paraId="7ACAEF50" w14:textId="77777777" w:rsidR="00377D51" w:rsidRPr="00531545" w:rsidRDefault="00377D51" w:rsidP="00744056">
            <w:pPr>
              <w:spacing w:before="40" w:after="40" w:line="245" w:lineRule="auto"/>
              <w:jc w:val="center"/>
              <w:rPr>
                <w:b/>
                <w:bCs/>
                <w:sz w:val="16"/>
                <w:szCs w:val="16"/>
              </w:rPr>
            </w:pPr>
            <w:r w:rsidRPr="00531545">
              <w:rPr>
                <w:b/>
                <w:bCs/>
                <w:sz w:val="16"/>
                <w:szCs w:val="16"/>
              </w:rPr>
              <w:t>Zdôvodnenie zmeny cieľovej hodnoty ukazovateľa</w:t>
            </w:r>
          </w:p>
        </w:tc>
      </w:tr>
      <w:tr w:rsidR="00377D51" w:rsidRPr="00531545" w14:paraId="286B6F45" w14:textId="77777777" w:rsidTr="00744056">
        <w:trPr>
          <w:trHeight w:val="397"/>
        </w:trPr>
        <w:tc>
          <w:tcPr>
            <w:tcW w:w="699" w:type="dxa"/>
            <w:vMerge/>
            <w:tcBorders>
              <w:left w:val="single" w:sz="8" w:space="0" w:color="4E67C8"/>
              <w:bottom w:val="single" w:sz="18" w:space="0" w:color="4E67C8"/>
              <w:right w:val="single" w:sz="8" w:space="0" w:color="4E67C8"/>
            </w:tcBorders>
            <w:shd w:val="clear" w:color="auto" w:fill="auto"/>
          </w:tcPr>
          <w:p w14:paraId="34BB3B73" w14:textId="77777777" w:rsidR="00377D51" w:rsidRPr="00531545" w:rsidRDefault="00377D51" w:rsidP="00744056">
            <w:pPr>
              <w:spacing w:before="40" w:after="40" w:line="245" w:lineRule="auto"/>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0DE47B8E" w14:textId="77777777" w:rsidR="00377D51" w:rsidRPr="00531545" w:rsidRDefault="00377D51" w:rsidP="00744056">
            <w:pPr>
              <w:spacing w:before="40" w:after="40" w:line="245" w:lineRule="auto"/>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1164A2B9" w14:textId="77777777" w:rsidR="00377D51" w:rsidRPr="00531545" w:rsidRDefault="00377D51" w:rsidP="00744056">
            <w:pPr>
              <w:spacing w:before="40" w:after="40" w:line="245" w:lineRule="auto"/>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5CC34628" w14:textId="77777777" w:rsidR="00377D51" w:rsidRPr="00531545" w:rsidRDefault="00377D51" w:rsidP="00744056">
            <w:pPr>
              <w:spacing w:before="40" w:after="40" w:line="245" w:lineRule="auto"/>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4A675A27" w14:textId="77777777" w:rsidR="00377D51" w:rsidRPr="00531545" w:rsidRDefault="00377D51" w:rsidP="00744056">
            <w:pPr>
              <w:spacing w:before="40" w:after="40" w:line="245" w:lineRule="auto"/>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9FA5A0A" w14:textId="77777777" w:rsidR="00377D51" w:rsidRPr="00531545" w:rsidRDefault="00377D51" w:rsidP="00744056">
            <w:pPr>
              <w:spacing w:before="40" w:after="40" w:line="245" w:lineRule="auto"/>
              <w:jc w:val="center"/>
              <w:rPr>
                <w:b/>
                <w:bCs/>
                <w:sz w:val="16"/>
                <w:szCs w:val="16"/>
              </w:rPr>
            </w:pPr>
            <w:r w:rsidRPr="00531545">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45D239A" w14:textId="77777777" w:rsidR="00377D51" w:rsidRPr="00531545" w:rsidRDefault="00377D51" w:rsidP="00744056">
            <w:pPr>
              <w:spacing w:before="40" w:after="40" w:line="245" w:lineRule="auto"/>
              <w:jc w:val="center"/>
              <w:rPr>
                <w:b/>
                <w:bCs/>
                <w:sz w:val="16"/>
                <w:szCs w:val="16"/>
              </w:rPr>
            </w:pPr>
            <w:r w:rsidRPr="00531545">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42B890F" w14:textId="77777777" w:rsidR="00377D51" w:rsidRPr="00531545" w:rsidRDefault="00377D51" w:rsidP="00744056">
            <w:pPr>
              <w:spacing w:before="40" w:after="40" w:line="245" w:lineRule="auto"/>
              <w:jc w:val="center"/>
              <w:rPr>
                <w:b/>
                <w:bCs/>
                <w:sz w:val="16"/>
                <w:szCs w:val="16"/>
              </w:rPr>
            </w:pPr>
            <w:r w:rsidRPr="00531545">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2535F48B" w14:textId="77777777" w:rsidR="00377D51" w:rsidRPr="00531545" w:rsidRDefault="00377D51" w:rsidP="00744056">
            <w:pPr>
              <w:spacing w:before="40" w:after="40" w:line="245" w:lineRule="auto"/>
              <w:rPr>
                <w:b/>
                <w:bCs/>
                <w:sz w:val="16"/>
                <w:szCs w:val="16"/>
              </w:rPr>
            </w:pPr>
          </w:p>
        </w:tc>
        <w:tc>
          <w:tcPr>
            <w:tcW w:w="992" w:type="dxa"/>
            <w:vMerge/>
            <w:tcBorders>
              <w:left w:val="single" w:sz="8" w:space="0" w:color="4E67C8"/>
              <w:bottom w:val="single" w:sz="18" w:space="0" w:color="4E67C8"/>
              <w:right w:val="single" w:sz="8" w:space="0" w:color="4E67C8"/>
            </w:tcBorders>
          </w:tcPr>
          <w:p w14:paraId="21F34826" w14:textId="77777777" w:rsidR="00377D51" w:rsidRPr="00531545" w:rsidRDefault="00377D51" w:rsidP="00744056">
            <w:pPr>
              <w:spacing w:before="40" w:after="40" w:line="245" w:lineRule="auto"/>
              <w:rPr>
                <w:b/>
                <w:bCs/>
                <w:sz w:val="16"/>
                <w:szCs w:val="16"/>
              </w:rPr>
            </w:pPr>
          </w:p>
        </w:tc>
        <w:tc>
          <w:tcPr>
            <w:tcW w:w="5745" w:type="dxa"/>
            <w:vMerge/>
            <w:tcBorders>
              <w:left w:val="single" w:sz="8" w:space="0" w:color="4E67C8"/>
              <w:bottom w:val="single" w:sz="18" w:space="0" w:color="4E67C8"/>
              <w:right w:val="single" w:sz="8" w:space="0" w:color="4E67C8"/>
            </w:tcBorders>
          </w:tcPr>
          <w:p w14:paraId="0D239081" w14:textId="77777777" w:rsidR="00377D51" w:rsidRPr="00531545" w:rsidRDefault="00377D51" w:rsidP="00744056">
            <w:pPr>
              <w:spacing w:before="40" w:after="40" w:line="245" w:lineRule="auto"/>
              <w:rPr>
                <w:b/>
                <w:bCs/>
                <w:sz w:val="16"/>
                <w:szCs w:val="16"/>
              </w:rPr>
            </w:pPr>
          </w:p>
        </w:tc>
      </w:tr>
      <w:tr w:rsidR="00377D51" w:rsidRPr="00531545" w14:paraId="5FEDBFCE"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C986BB4" w14:textId="77777777" w:rsidR="00377D51" w:rsidRPr="00531545" w:rsidRDefault="00377D51" w:rsidP="00744056">
            <w:pPr>
              <w:spacing w:before="40" w:after="40" w:line="245" w:lineRule="auto"/>
              <w:jc w:val="center"/>
              <w:rPr>
                <w:sz w:val="16"/>
                <w:szCs w:val="16"/>
              </w:rPr>
            </w:pPr>
            <w:r w:rsidRPr="00613E0D">
              <w:rPr>
                <w:sz w:val="16"/>
                <w:szCs w:val="16"/>
              </w:rPr>
              <w:t>O0248</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68B6BA" w14:textId="77777777" w:rsidR="00377D51" w:rsidRPr="00531545" w:rsidRDefault="00377D51" w:rsidP="00744056">
            <w:pPr>
              <w:spacing w:before="40" w:after="40" w:line="245" w:lineRule="auto"/>
              <w:jc w:val="center"/>
              <w:rPr>
                <w:sz w:val="16"/>
                <w:szCs w:val="16"/>
              </w:rPr>
            </w:pPr>
            <w:r w:rsidRPr="004E6D0E">
              <w:rPr>
                <w:sz w:val="16"/>
                <w:szCs w:val="16"/>
              </w:rPr>
              <w:t>Počet účastníkov inkubačnej a akceleračnej schémy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236CB58" w14:textId="77777777" w:rsidR="00377D51" w:rsidRPr="00613E0D" w:rsidRDefault="00377D51" w:rsidP="00744056">
            <w:pPr>
              <w:spacing w:before="40" w:after="40" w:line="245" w:lineRule="auto"/>
              <w:jc w:val="center"/>
              <w:rPr>
                <w:sz w:val="16"/>
                <w:szCs w:val="16"/>
              </w:rPr>
            </w:pPr>
            <w:r w:rsidRPr="004E6D0E">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B23DDA4"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9FA9AEB" w14:textId="77777777" w:rsidR="00377D51" w:rsidRPr="00613E0D" w:rsidRDefault="00377D51" w:rsidP="00744056">
            <w:pPr>
              <w:spacing w:before="40" w:after="40" w:line="245" w:lineRule="auto"/>
              <w:jc w:val="center"/>
              <w:rPr>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E160802"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E3DF804"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A606946" w14:textId="77777777" w:rsidR="00377D51" w:rsidRPr="00531545" w:rsidDel="00967649" w:rsidRDefault="00377D51" w:rsidP="00744056">
            <w:pPr>
              <w:spacing w:before="40" w:after="40" w:line="245" w:lineRule="auto"/>
              <w:jc w:val="center"/>
              <w:rPr>
                <w:sz w:val="16"/>
                <w:szCs w:val="16"/>
              </w:rPr>
            </w:pPr>
            <w:r>
              <w:rPr>
                <w:sz w:val="16"/>
                <w:szCs w:val="16"/>
              </w:rPr>
              <w:t>60</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B388A1"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58D7F66"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305D5016" w14:textId="77777777" w:rsidR="00377D51" w:rsidRDefault="00377D51" w:rsidP="00744056">
            <w:pPr>
              <w:pStyle w:val="Textkomentra"/>
              <w:spacing w:before="40" w:after="40" w:line="245" w:lineRule="auto"/>
              <w:jc w:val="both"/>
              <w:rPr>
                <w:sz w:val="16"/>
                <w:szCs w:val="16"/>
              </w:rPr>
            </w:pPr>
          </w:p>
          <w:p w14:paraId="06D62247" w14:textId="77777777" w:rsidR="00377D51" w:rsidRPr="005F5EFA" w:rsidRDefault="00377D51" w:rsidP="00744056">
            <w:pPr>
              <w:pStyle w:val="Textkomentra"/>
              <w:spacing w:before="40" w:after="40" w:line="245" w:lineRule="auto"/>
              <w:jc w:val="both"/>
              <w:rPr>
                <w:sz w:val="16"/>
                <w:szCs w:val="16"/>
              </w:rPr>
            </w:pPr>
            <w:r w:rsidRPr="00B5311F">
              <w:rPr>
                <w:sz w:val="16"/>
                <w:szCs w:val="16"/>
              </w:rPr>
              <w:t xml:space="preserve">Pri programovaní neexistovali historické dáta, cieľová hodnota bola </w:t>
            </w:r>
            <w:r>
              <w:rPr>
                <w:sz w:val="16"/>
                <w:szCs w:val="16"/>
              </w:rPr>
              <w:t>stanovená pravdepodobne cez kvalifikovaný odhad. Z</w:t>
            </w:r>
            <w:r w:rsidRPr="00B5311F">
              <w:rPr>
                <w:sz w:val="16"/>
                <w:szCs w:val="16"/>
              </w:rPr>
              <w:t>áujem o intervencie PO3 cez realizované výzvy predpokladá plnenie cieľovej hodnoty na „60“</w:t>
            </w:r>
            <w:r>
              <w:rPr>
                <w:sz w:val="16"/>
                <w:szCs w:val="16"/>
              </w:rPr>
              <w:t>, čím bude uspokojený dopyt v danej oblasti podpory.</w:t>
            </w:r>
          </w:p>
        </w:tc>
      </w:tr>
      <w:tr w:rsidR="00377D51" w:rsidRPr="00531545" w14:paraId="6DAD5904"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E41CA6" w14:textId="77777777" w:rsidR="00377D51" w:rsidRPr="00531545" w:rsidRDefault="00377D51" w:rsidP="00744056">
            <w:pPr>
              <w:spacing w:before="40" w:after="40" w:line="245" w:lineRule="auto"/>
              <w:jc w:val="center"/>
              <w:rPr>
                <w:sz w:val="16"/>
                <w:szCs w:val="16"/>
              </w:rPr>
            </w:pPr>
            <w:r w:rsidRPr="00613E0D">
              <w:rPr>
                <w:sz w:val="16"/>
                <w:szCs w:val="16"/>
              </w:rPr>
              <w:t>CO08</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02BEBD6" w14:textId="77777777" w:rsidR="00377D51" w:rsidRPr="00531545" w:rsidRDefault="00377D51" w:rsidP="00744056">
            <w:pPr>
              <w:spacing w:before="40" w:after="40" w:line="245" w:lineRule="auto"/>
              <w:jc w:val="center"/>
              <w:rPr>
                <w:sz w:val="16"/>
                <w:szCs w:val="16"/>
              </w:rPr>
            </w:pPr>
            <w:r w:rsidRPr="004E6D0E">
              <w:rPr>
                <w:sz w:val="16"/>
                <w:szCs w:val="16"/>
              </w:rPr>
              <w:t>Nárast zamestnanosti v podporených podnikoch</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0036149" w14:textId="77777777" w:rsidR="00377D51" w:rsidRPr="00613E0D" w:rsidRDefault="00377D51" w:rsidP="00744056">
            <w:pPr>
              <w:spacing w:before="40" w:after="40" w:line="245" w:lineRule="auto"/>
              <w:jc w:val="center"/>
              <w:rPr>
                <w:sz w:val="16"/>
                <w:szCs w:val="16"/>
              </w:rPr>
            </w:pPr>
            <w:r w:rsidRPr="004E6D0E">
              <w:rPr>
                <w:sz w:val="16"/>
                <w:szCs w:val="16"/>
              </w:rPr>
              <w:t>Ekvivalent plných pracovných úväzkov</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CB8009D"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9FC71BC" w14:textId="77777777" w:rsidR="00377D51" w:rsidRPr="00613E0D" w:rsidRDefault="00377D51" w:rsidP="00744056">
            <w:pPr>
              <w:spacing w:before="40" w:after="40" w:line="245" w:lineRule="auto"/>
              <w:jc w:val="center"/>
              <w:rPr>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4A405F4"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3850E26"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27C9D99" w14:textId="77777777" w:rsidR="00377D51" w:rsidRPr="00531545" w:rsidDel="00967649" w:rsidRDefault="00377D51" w:rsidP="00744056">
            <w:pPr>
              <w:spacing w:before="40" w:after="40" w:line="245" w:lineRule="auto"/>
              <w:jc w:val="center"/>
              <w:rPr>
                <w:sz w:val="16"/>
                <w:szCs w:val="16"/>
              </w:rPr>
            </w:pPr>
            <w:r>
              <w:rPr>
                <w:sz w:val="16"/>
                <w:szCs w:val="16"/>
              </w:rPr>
              <w:t>22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1B6CF99"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46F255"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45CB60E0" w14:textId="77777777" w:rsidR="00377D51" w:rsidRPr="00613E0D" w:rsidRDefault="00377D51" w:rsidP="00744056">
            <w:pPr>
              <w:pStyle w:val="Textkomentra"/>
              <w:spacing w:before="40" w:after="40" w:line="245" w:lineRule="auto"/>
              <w:jc w:val="both"/>
              <w:rPr>
                <w:sz w:val="16"/>
                <w:szCs w:val="16"/>
              </w:rPr>
            </w:pPr>
            <w:r w:rsidRPr="00613E0D">
              <w:rPr>
                <w:sz w:val="16"/>
                <w:szCs w:val="16"/>
              </w:rPr>
              <w:t xml:space="preserve">Vo VRR dochádza k zníženiu alokácie o 57,24%. Pri úmernom znížení cieľovej hodnoty o 57,24% by bola cieľová hodnota „16“, čo je hodnota nižšia ako je aktuálne </w:t>
            </w:r>
            <w:proofErr w:type="spellStart"/>
            <w:r w:rsidRPr="00613E0D">
              <w:rPr>
                <w:sz w:val="16"/>
                <w:szCs w:val="16"/>
              </w:rPr>
              <w:t>zazmluvnená</w:t>
            </w:r>
            <w:proofErr w:type="spellEnd"/>
            <w:r w:rsidRPr="00613E0D">
              <w:rPr>
                <w:sz w:val="16"/>
                <w:szCs w:val="16"/>
              </w:rPr>
              <w:t xml:space="preserve"> hodnota „25“. </w:t>
            </w:r>
          </w:p>
          <w:p w14:paraId="26503B7B" w14:textId="77777777" w:rsidR="00377D51" w:rsidRPr="00613E0D" w:rsidRDefault="00377D51" w:rsidP="00744056">
            <w:pPr>
              <w:pStyle w:val="Textkomentra"/>
              <w:spacing w:before="40" w:after="40" w:line="245" w:lineRule="auto"/>
              <w:jc w:val="both"/>
              <w:rPr>
                <w:sz w:val="16"/>
                <w:szCs w:val="16"/>
              </w:rPr>
            </w:pPr>
            <w:r w:rsidRPr="00613E0D">
              <w:rPr>
                <w:sz w:val="16"/>
                <w:szCs w:val="16"/>
              </w:rPr>
              <w:t xml:space="preserve">Aktuálne začína narastať počet žiadosti prijímateľov o mimoriadne ukončenie projektov z dôvodu nepriaznivej finančnej situácie spôsobenej pandémiou COVID-19. SO MK SR vynakladá maximálne úsilie na udržanie čo najväčšieho počtu projektov a ich úspešnú realizáciu. Napriek tomu, je vysoká pravdepodobnosť, že trend odstupovania od projektov bude naďalej pokračovať. SO MK SR optimisticky predpokladá, že z aktuálne </w:t>
            </w:r>
            <w:proofErr w:type="spellStart"/>
            <w:r w:rsidRPr="00613E0D">
              <w:rPr>
                <w:sz w:val="16"/>
                <w:szCs w:val="16"/>
              </w:rPr>
              <w:t>zazmluvnených</w:t>
            </w:r>
            <w:proofErr w:type="spellEnd"/>
            <w:r w:rsidRPr="00613E0D">
              <w:rPr>
                <w:sz w:val="16"/>
                <w:szCs w:val="16"/>
              </w:rPr>
              <w:t xml:space="preserve"> projektov bude cca iba 10% takých, ktoré nebude možné udržať vo fáze realizácie a bude nutné ich mimoriadne ukončenie. </w:t>
            </w:r>
          </w:p>
          <w:p w14:paraId="6F06A9CF" w14:textId="77777777" w:rsidR="00377D51" w:rsidRPr="00531545" w:rsidRDefault="00377D51" w:rsidP="00744056">
            <w:pPr>
              <w:spacing w:before="40" w:after="40" w:line="245" w:lineRule="auto"/>
              <w:jc w:val="both"/>
              <w:rPr>
                <w:sz w:val="16"/>
                <w:szCs w:val="16"/>
              </w:rPr>
            </w:pPr>
            <w:r w:rsidRPr="00613E0D">
              <w:rPr>
                <w:sz w:val="16"/>
                <w:szCs w:val="16"/>
              </w:rPr>
              <w:t xml:space="preserve">Na základe uvedeného je cieľová hodnota nastavená na "22", pričom je už zohľadnený cca 10% pokles z aktuálne </w:t>
            </w:r>
            <w:proofErr w:type="spellStart"/>
            <w:r w:rsidRPr="00613E0D">
              <w:rPr>
                <w:sz w:val="16"/>
                <w:szCs w:val="16"/>
              </w:rPr>
              <w:t>zazmluvnenej</w:t>
            </w:r>
            <w:proofErr w:type="spellEnd"/>
            <w:r w:rsidRPr="00613E0D">
              <w:rPr>
                <w:sz w:val="16"/>
                <w:szCs w:val="16"/>
              </w:rPr>
              <w:t xml:space="preserve"> hodnoty "25".</w:t>
            </w:r>
          </w:p>
        </w:tc>
      </w:tr>
      <w:tr w:rsidR="00377D51" w:rsidRPr="00531545" w14:paraId="2BEDCA94"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E3CE12B" w14:textId="77777777" w:rsidR="00377D51" w:rsidRPr="00531545" w:rsidRDefault="00377D51" w:rsidP="00744056">
            <w:pPr>
              <w:spacing w:before="40" w:after="40" w:line="245" w:lineRule="auto"/>
              <w:rPr>
                <w:sz w:val="16"/>
                <w:szCs w:val="16"/>
              </w:rPr>
            </w:pPr>
            <w:r w:rsidRPr="004E6D0E">
              <w:rPr>
                <w:bCs/>
                <w:sz w:val="16"/>
                <w:szCs w:val="16"/>
              </w:rPr>
              <w:t>O0153</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970C0E" w14:textId="77777777" w:rsidR="00377D51" w:rsidRPr="00531545" w:rsidRDefault="00377D51" w:rsidP="00744056">
            <w:pPr>
              <w:spacing w:before="40" w:after="40" w:line="245" w:lineRule="auto"/>
              <w:rPr>
                <w:sz w:val="16"/>
                <w:szCs w:val="16"/>
              </w:rPr>
            </w:pPr>
            <w:r w:rsidRPr="004E6D0E">
              <w:rPr>
                <w:sz w:val="16"/>
                <w:szCs w:val="16"/>
              </w:rPr>
              <w:t>Počet aktivít na podporu dopytu</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B66254" w14:textId="77777777" w:rsidR="00377D51" w:rsidRPr="00531545" w:rsidRDefault="00377D51" w:rsidP="00744056">
            <w:pPr>
              <w:spacing w:before="40" w:after="40" w:line="245" w:lineRule="auto"/>
              <w:jc w:val="center"/>
              <w:rPr>
                <w:bCs/>
                <w:sz w:val="16"/>
                <w:szCs w:val="16"/>
              </w:rPr>
            </w:pPr>
            <w:r w:rsidRPr="004E6D0E">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8E72A6D"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535F75" w14:textId="77777777" w:rsidR="00377D51" w:rsidRPr="00531545" w:rsidRDefault="00377D51" w:rsidP="00744056">
            <w:pPr>
              <w:spacing w:before="40" w:after="40" w:line="245" w:lineRule="auto"/>
              <w:jc w:val="center"/>
              <w:rPr>
                <w:bCs/>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481C666"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1A5080D"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332C21F" w14:textId="77777777" w:rsidR="00377D51" w:rsidRPr="00531545" w:rsidDel="00967649" w:rsidRDefault="00377D51" w:rsidP="00744056">
            <w:pPr>
              <w:spacing w:before="40" w:after="40" w:line="245" w:lineRule="auto"/>
              <w:jc w:val="center"/>
              <w:rPr>
                <w:sz w:val="16"/>
                <w:szCs w:val="16"/>
              </w:rPr>
            </w:pPr>
            <w:r>
              <w:rPr>
                <w:sz w:val="16"/>
                <w:szCs w:val="16"/>
              </w:rPr>
              <w:t>4</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D4E1293"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2B8039"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1AE2D710" w14:textId="77777777" w:rsidR="00377D51" w:rsidRPr="001A50A2" w:rsidRDefault="00377D51" w:rsidP="00744056">
            <w:pPr>
              <w:pStyle w:val="Textkomentra"/>
              <w:spacing w:before="40" w:after="40" w:line="245" w:lineRule="auto"/>
              <w:jc w:val="both"/>
              <w:rPr>
                <w:sz w:val="16"/>
                <w:szCs w:val="16"/>
              </w:rPr>
            </w:pPr>
            <w:r w:rsidRPr="001A50A2">
              <w:rPr>
                <w:sz w:val="16"/>
                <w:szCs w:val="16"/>
              </w:rPr>
              <w:t xml:space="preserve">Vo VRR dochádza k zníženiu alokácie o 57,24%. Pri úmernom znížení cieľovej hodnoty o 57,24% by bola cieľová hodnota „16“.  </w:t>
            </w:r>
          </w:p>
          <w:p w14:paraId="0B6137D0" w14:textId="77777777" w:rsidR="00377D51" w:rsidRDefault="00377D51" w:rsidP="00744056">
            <w:pPr>
              <w:pStyle w:val="Textkomentra"/>
              <w:spacing w:before="40" w:after="40" w:line="245" w:lineRule="auto"/>
              <w:jc w:val="both"/>
              <w:rPr>
                <w:sz w:val="16"/>
                <w:szCs w:val="16"/>
              </w:rPr>
            </w:pPr>
            <w:r w:rsidRPr="001A50A2">
              <w:rPr>
                <w:sz w:val="16"/>
                <w:szCs w:val="16"/>
              </w:rPr>
              <w:t xml:space="preserve">Aktuálne začína narastať počet žiadosti prijímateľov o mimoriadne ukončenie projektov z dôvodu nepriaznivej finančnej situácie spôsobenej pandémiou COVID-19. SO MK SR vynakladá maximálne úsilie na udržanie čo najväčšieho počtu projektov a ich úspešnú realizáciu. Napriek tomu, je vysoká pravdepodobnosť, že trend odstupovania od projektov bude naďalej pokračovať. </w:t>
            </w:r>
          </w:p>
          <w:p w14:paraId="2BA6E67A" w14:textId="77777777" w:rsidR="00377D51" w:rsidRDefault="00377D51" w:rsidP="00744056">
            <w:pPr>
              <w:pStyle w:val="Textkomentra"/>
              <w:spacing w:before="40" w:after="40" w:line="245" w:lineRule="auto"/>
              <w:jc w:val="both"/>
              <w:rPr>
                <w:sz w:val="16"/>
                <w:szCs w:val="16"/>
              </w:rPr>
            </w:pPr>
            <w:r w:rsidRPr="00B5311F">
              <w:rPr>
                <w:sz w:val="16"/>
                <w:szCs w:val="16"/>
              </w:rPr>
              <w:t xml:space="preserve">Pri programovaní neexistovali historické dáta, cieľová hodnota bola </w:t>
            </w:r>
            <w:r>
              <w:rPr>
                <w:sz w:val="16"/>
                <w:szCs w:val="16"/>
              </w:rPr>
              <w:t>stanovená pravdepodobne cez kvalifikovaný odhad. Z</w:t>
            </w:r>
            <w:r w:rsidRPr="00B5311F">
              <w:rPr>
                <w:sz w:val="16"/>
                <w:szCs w:val="16"/>
              </w:rPr>
              <w:t>áujem o intervencie PO3 cez realizované výzvy predpokladá</w:t>
            </w:r>
            <w:r>
              <w:rPr>
                <w:sz w:val="16"/>
                <w:szCs w:val="16"/>
              </w:rPr>
              <w:t xml:space="preserve"> plnenie cieľovej hodnoty na „4</w:t>
            </w:r>
            <w:r w:rsidRPr="00B5311F">
              <w:rPr>
                <w:sz w:val="16"/>
                <w:szCs w:val="16"/>
              </w:rPr>
              <w:t>“</w:t>
            </w:r>
            <w:r>
              <w:rPr>
                <w:sz w:val="16"/>
                <w:szCs w:val="16"/>
              </w:rPr>
              <w:t xml:space="preserve">, čím bude uspokojený dopyt v danej oblasti podpory. </w:t>
            </w:r>
            <w:r w:rsidRPr="001A50A2">
              <w:rPr>
                <w:sz w:val="16"/>
                <w:szCs w:val="16"/>
              </w:rPr>
              <w:t xml:space="preserve"> </w:t>
            </w:r>
          </w:p>
          <w:p w14:paraId="3CE4ADD6" w14:textId="77777777" w:rsidR="00377D51" w:rsidRPr="001A50A2" w:rsidRDefault="00377D51" w:rsidP="00744056">
            <w:pPr>
              <w:pStyle w:val="Textkomentra"/>
              <w:spacing w:before="40" w:after="40" w:line="245" w:lineRule="auto"/>
              <w:jc w:val="both"/>
              <w:rPr>
                <w:sz w:val="16"/>
                <w:szCs w:val="16"/>
              </w:rPr>
            </w:pPr>
            <w:r w:rsidRPr="001A50A2">
              <w:rPr>
                <w:sz w:val="16"/>
                <w:szCs w:val="16"/>
              </w:rPr>
              <w:t xml:space="preserve">Plánová hodnota počtu projektov, ktoré budú plniť O0153 je a bola od roku 2014 „1“, </w:t>
            </w:r>
            <w:proofErr w:type="spellStart"/>
            <w:r w:rsidRPr="001A50A2">
              <w:rPr>
                <w:sz w:val="16"/>
                <w:szCs w:val="16"/>
              </w:rPr>
              <w:t>t.j</w:t>
            </w:r>
            <w:proofErr w:type="spellEnd"/>
            <w:r w:rsidRPr="001A50A2">
              <w:rPr>
                <w:sz w:val="16"/>
                <w:szCs w:val="16"/>
              </w:rPr>
              <w:t>. predpoklad, že hodnota bude plnená cez jediný projekt je správny , avšak nesprávne však bol odhadnutý na to nadväzujúci počet aktivít v O0153.</w:t>
            </w:r>
          </w:p>
        </w:tc>
      </w:tr>
      <w:tr w:rsidR="00377D51" w:rsidRPr="00531545" w14:paraId="4ABD216C"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C814F74" w14:textId="77777777" w:rsidR="00377D51" w:rsidRPr="00531545" w:rsidRDefault="00377D51" w:rsidP="00744056">
            <w:pPr>
              <w:spacing w:before="40" w:after="40" w:line="245" w:lineRule="auto"/>
              <w:rPr>
                <w:sz w:val="16"/>
                <w:szCs w:val="16"/>
              </w:rPr>
            </w:pPr>
            <w:r w:rsidRPr="004E6D0E">
              <w:rPr>
                <w:sz w:val="16"/>
                <w:szCs w:val="16"/>
              </w:rPr>
              <w:t>C</w:t>
            </w:r>
            <w:r>
              <w:rPr>
                <w:sz w:val="16"/>
                <w:szCs w:val="16"/>
              </w:rPr>
              <w:t>O</w:t>
            </w:r>
            <w:r w:rsidRPr="004E6D0E">
              <w:rPr>
                <w:sz w:val="16"/>
                <w:szCs w:val="16"/>
              </w:rPr>
              <w:t xml:space="preserve">01 </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7D1FE1D" w14:textId="77777777" w:rsidR="00377D51" w:rsidRPr="00531545" w:rsidRDefault="00377D51" w:rsidP="00744056">
            <w:pPr>
              <w:spacing w:before="40" w:after="40" w:line="245" w:lineRule="auto"/>
              <w:rPr>
                <w:sz w:val="16"/>
                <w:szCs w:val="16"/>
              </w:rPr>
            </w:pPr>
            <w:r w:rsidRPr="004E6D0E">
              <w:rPr>
                <w:sz w:val="16"/>
                <w:szCs w:val="16"/>
              </w:rPr>
              <w:t xml:space="preserve">Počet podnikov, ktorým sa poskytuje podpora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E0E8ABA" w14:textId="77777777" w:rsidR="00377D51" w:rsidRPr="00531545" w:rsidRDefault="00377D51" w:rsidP="00744056">
            <w:pPr>
              <w:spacing w:before="40" w:after="40" w:line="245" w:lineRule="auto"/>
              <w:jc w:val="center"/>
              <w:rPr>
                <w:bCs/>
                <w:sz w:val="16"/>
                <w:szCs w:val="16"/>
              </w:rPr>
            </w:pPr>
            <w:r w:rsidRPr="004E6D0E">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ED0CDE"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134789" w14:textId="77777777" w:rsidR="00377D51" w:rsidRPr="00531545" w:rsidRDefault="00377D51" w:rsidP="00744056">
            <w:pPr>
              <w:spacing w:before="40" w:after="40" w:line="245" w:lineRule="auto"/>
              <w:jc w:val="center"/>
              <w:rPr>
                <w:bCs/>
                <w:sz w:val="16"/>
                <w:szCs w:val="16"/>
              </w:rPr>
            </w:pPr>
            <w:r w:rsidRPr="004E6D0E">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AC3705"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EC7BC5E"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F923E3D" w14:textId="77777777" w:rsidR="00377D51" w:rsidRPr="00531545" w:rsidDel="00967649" w:rsidRDefault="00377D51" w:rsidP="00744056">
            <w:pPr>
              <w:spacing w:before="40" w:after="40" w:line="245" w:lineRule="auto"/>
              <w:jc w:val="center"/>
              <w:rPr>
                <w:sz w:val="16"/>
                <w:szCs w:val="16"/>
              </w:rPr>
            </w:pPr>
            <w:r>
              <w:rPr>
                <w:sz w:val="16"/>
                <w:szCs w:val="16"/>
              </w:rPr>
              <w:t xml:space="preserve">169 </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6A66B4"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4F2D83D"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335E75A0" w14:textId="77777777" w:rsidR="00377D51" w:rsidRPr="00613E0D" w:rsidRDefault="00377D51" w:rsidP="00744056">
            <w:pPr>
              <w:pStyle w:val="Textkomentra"/>
              <w:spacing w:before="40" w:after="40" w:line="245" w:lineRule="auto"/>
              <w:jc w:val="both"/>
              <w:rPr>
                <w:sz w:val="16"/>
                <w:szCs w:val="16"/>
              </w:rPr>
            </w:pPr>
            <w:r w:rsidRPr="00613E0D">
              <w:rPr>
                <w:sz w:val="16"/>
                <w:szCs w:val="16"/>
              </w:rPr>
              <w:t>SO MK SR navrhuje hodnotu CO01 upraviť tak, aby bola v logickom súlade s CO02 a CO03.</w:t>
            </w:r>
          </w:p>
          <w:p w14:paraId="49D35051" w14:textId="77777777" w:rsidR="00377D51" w:rsidRPr="00613E0D" w:rsidRDefault="00377D51" w:rsidP="00744056">
            <w:pPr>
              <w:pStyle w:val="Textkomentra"/>
              <w:spacing w:before="40" w:after="40" w:line="245" w:lineRule="auto"/>
              <w:jc w:val="both"/>
              <w:rPr>
                <w:sz w:val="16"/>
                <w:szCs w:val="16"/>
              </w:rPr>
            </w:pPr>
            <w:r w:rsidRPr="00613E0D">
              <w:rPr>
                <w:sz w:val="16"/>
                <w:szCs w:val="16"/>
              </w:rPr>
              <w:t>Hodnota CO01 je súčtom hodnôt CO02+CO03. Hodnota CO01 v PO3 však aktuálne tento vzorec nekopíruje. Preto je hodnota CO01 upravená tak, aby bola súčtom CO02 a CO03.</w:t>
            </w:r>
          </w:p>
        </w:tc>
      </w:tr>
      <w:tr w:rsidR="00377D51" w:rsidRPr="00531545" w14:paraId="6C32975B"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4B7F896" w14:textId="77777777" w:rsidR="00377D51" w:rsidRPr="00531545" w:rsidRDefault="00377D51" w:rsidP="00744056">
            <w:pPr>
              <w:spacing w:before="40" w:after="40" w:line="245" w:lineRule="auto"/>
              <w:rPr>
                <w:sz w:val="16"/>
                <w:szCs w:val="16"/>
              </w:rPr>
            </w:pPr>
            <w:r w:rsidRPr="004E6D0E">
              <w:rPr>
                <w:sz w:val="16"/>
                <w:szCs w:val="16"/>
              </w:rPr>
              <w:lastRenderedPageBreak/>
              <w:t>C</w:t>
            </w:r>
            <w:r>
              <w:rPr>
                <w:sz w:val="16"/>
                <w:szCs w:val="16"/>
              </w:rPr>
              <w:t>O</w:t>
            </w:r>
            <w:r w:rsidRPr="004E6D0E">
              <w:rPr>
                <w:sz w:val="16"/>
                <w:szCs w:val="16"/>
              </w:rPr>
              <w:t xml:space="preserve">01 </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0C86FDB" w14:textId="77777777" w:rsidR="00377D51" w:rsidRPr="00531545" w:rsidRDefault="00377D51" w:rsidP="00744056">
            <w:pPr>
              <w:spacing w:before="40" w:after="40" w:line="245" w:lineRule="auto"/>
              <w:rPr>
                <w:sz w:val="16"/>
                <w:szCs w:val="16"/>
              </w:rPr>
            </w:pPr>
            <w:r w:rsidRPr="004E6D0E">
              <w:rPr>
                <w:sz w:val="16"/>
                <w:szCs w:val="16"/>
              </w:rPr>
              <w:t xml:space="preserve">Počet podnikov, ktorým sa poskytuje podpora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477E47A" w14:textId="77777777" w:rsidR="00377D51" w:rsidRPr="00531545" w:rsidRDefault="00377D51" w:rsidP="00744056">
            <w:pPr>
              <w:spacing w:before="40" w:after="40" w:line="245" w:lineRule="auto"/>
              <w:jc w:val="center"/>
              <w:rPr>
                <w:bCs/>
                <w:sz w:val="16"/>
                <w:szCs w:val="16"/>
              </w:rPr>
            </w:pPr>
            <w:r w:rsidRPr="004E6D0E">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684CD79"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FCB7ACA" w14:textId="77777777" w:rsidR="00377D51" w:rsidRPr="00531545" w:rsidRDefault="00377D51" w:rsidP="00744056">
            <w:pPr>
              <w:spacing w:before="40" w:after="40" w:line="245" w:lineRule="auto"/>
              <w:jc w:val="center"/>
              <w:rPr>
                <w:bCs/>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C327D6F"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802F44D"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462F3E1" w14:textId="77777777" w:rsidR="00377D51" w:rsidRPr="00531545" w:rsidDel="00967649" w:rsidRDefault="00377D51" w:rsidP="00744056">
            <w:pPr>
              <w:spacing w:before="40" w:after="40" w:line="245" w:lineRule="auto"/>
              <w:jc w:val="center"/>
              <w:rPr>
                <w:sz w:val="16"/>
                <w:szCs w:val="16"/>
              </w:rPr>
            </w:pPr>
            <w:r>
              <w:rPr>
                <w:sz w:val="16"/>
                <w:szCs w:val="16"/>
              </w:rPr>
              <w:t>10</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332EAA3"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3603846"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6D5B8CB9" w14:textId="77777777" w:rsidR="00377D51" w:rsidRPr="00531545" w:rsidRDefault="00377D51" w:rsidP="00744056">
            <w:pPr>
              <w:pStyle w:val="Textkomentra"/>
              <w:spacing w:before="40" w:after="40" w:line="245" w:lineRule="auto"/>
              <w:jc w:val="both"/>
              <w:rPr>
                <w:sz w:val="16"/>
                <w:szCs w:val="16"/>
              </w:rPr>
            </w:pPr>
            <w:r w:rsidRPr="00613E0D">
              <w:rPr>
                <w:sz w:val="16"/>
                <w:szCs w:val="16"/>
              </w:rPr>
              <w:t>SO MK SR navrhuje hodnotu CO01 upraviť tak, aby bola v logickom súlade s CO02 a CO03. Hodnota CO01 je súčtom hodnôt CO02+CO03. Hodnota CO01 v PO3 však aktuálne tento vzorec nekopíruje. Preto je hodnota CO01 upravená tak, aby bola súčtom CO02 a CO03.</w:t>
            </w:r>
          </w:p>
        </w:tc>
      </w:tr>
      <w:tr w:rsidR="00377D51" w:rsidRPr="00531545" w14:paraId="6606EFB7"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BE56B87" w14:textId="77777777" w:rsidR="00377D51" w:rsidRPr="00531545" w:rsidRDefault="00377D51" w:rsidP="00744056">
            <w:pPr>
              <w:spacing w:before="40" w:after="40" w:line="245" w:lineRule="auto"/>
              <w:rPr>
                <w:sz w:val="16"/>
                <w:szCs w:val="16"/>
              </w:rPr>
            </w:pPr>
            <w:r w:rsidRPr="004E6D0E">
              <w:rPr>
                <w:sz w:val="16"/>
                <w:szCs w:val="16"/>
              </w:rPr>
              <w:t>C</w:t>
            </w:r>
            <w:r>
              <w:rPr>
                <w:sz w:val="16"/>
                <w:szCs w:val="16"/>
              </w:rPr>
              <w:t>O</w:t>
            </w:r>
            <w:r w:rsidRPr="004E6D0E">
              <w:rPr>
                <w:sz w:val="16"/>
                <w:szCs w:val="16"/>
              </w:rPr>
              <w:t xml:space="preserve">03 </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B5B026B" w14:textId="77777777" w:rsidR="00377D51" w:rsidRPr="00531545" w:rsidRDefault="00377D51" w:rsidP="00744056">
            <w:pPr>
              <w:spacing w:before="40" w:after="40" w:line="245" w:lineRule="auto"/>
              <w:rPr>
                <w:sz w:val="16"/>
                <w:szCs w:val="16"/>
              </w:rPr>
            </w:pPr>
            <w:r w:rsidRPr="004E6D0E">
              <w:rPr>
                <w:sz w:val="16"/>
                <w:szCs w:val="16"/>
              </w:rPr>
              <w:t>Počet podnikov, ktoré dostávajú finančnú podporu inú ako granty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789DC2" w14:textId="77777777" w:rsidR="00377D51" w:rsidRPr="00531545" w:rsidRDefault="00377D51" w:rsidP="00744056">
            <w:pPr>
              <w:spacing w:before="40" w:after="40" w:line="245" w:lineRule="auto"/>
              <w:jc w:val="center"/>
              <w:rPr>
                <w:bCs/>
                <w:sz w:val="16"/>
                <w:szCs w:val="16"/>
              </w:rPr>
            </w:pPr>
            <w:r w:rsidRPr="004E6D0E">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4901FB" w14:textId="77777777" w:rsidR="00377D51" w:rsidRPr="00531545"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6DDC03E" w14:textId="77777777" w:rsidR="00377D51" w:rsidRPr="00531545" w:rsidRDefault="00377D51" w:rsidP="00744056">
            <w:pPr>
              <w:spacing w:before="40" w:after="40" w:line="245" w:lineRule="auto"/>
              <w:jc w:val="center"/>
              <w:rPr>
                <w:bCs/>
                <w:sz w:val="16"/>
                <w:szCs w:val="16"/>
              </w:rPr>
            </w:pPr>
            <w:r w:rsidRPr="004E6D0E">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424DDFE"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5654073" w14:textId="77777777" w:rsidR="00377D51" w:rsidRPr="00531545"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8665A43" w14:textId="77777777" w:rsidR="00377D51" w:rsidRPr="00531545" w:rsidDel="00967649" w:rsidRDefault="00377D51" w:rsidP="00744056">
            <w:pPr>
              <w:spacing w:before="40" w:after="40" w:line="245" w:lineRule="auto"/>
              <w:jc w:val="center"/>
              <w:rPr>
                <w:sz w:val="16"/>
                <w:szCs w:val="16"/>
              </w:rPr>
            </w:pPr>
            <w:r>
              <w:rPr>
                <w:sz w:val="16"/>
                <w:szCs w:val="16"/>
              </w:rPr>
              <w:t>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9A1980D" w14:textId="77777777" w:rsidR="00377D51" w:rsidRPr="00531545"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7531126" w14:textId="77777777" w:rsidR="00377D51" w:rsidRPr="00531545" w:rsidRDefault="00377D51" w:rsidP="00744056">
            <w:pPr>
              <w:spacing w:before="40" w:after="40" w:line="245" w:lineRule="auto"/>
              <w:jc w:val="center"/>
              <w:rPr>
                <w:bCs/>
                <w:sz w:val="16"/>
                <w:szCs w:val="16"/>
              </w:rPr>
            </w:pPr>
            <w:r w:rsidRPr="004E6D0E">
              <w:rPr>
                <w:sz w:val="16"/>
                <w:szCs w:val="16"/>
              </w:rPr>
              <w:t>ročne</w:t>
            </w:r>
          </w:p>
        </w:tc>
        <w:tc>
          <w:tcPr>
            <w:tcW w:w="5745" w:type="dxa"/>
          </w:tcPr>
          <w:p w14:paraId="48C5C442" w14:textId="77777777" w:rsidR="00377D51" w:rsidRPr="00531545" w:rsidRDefault="00377D51" w:rsidP="00744056">
            <w:pPr>
              <w:pStyle w:val="Textkomentra"/>
              <w:spacing w:before="40" w:after="40" w:line="245" w:lineRule="auto"/>
              <w:jc w:val="both"/>
              <w:rPr>
                <w:sz w:val="16"/>
                <w:szCs w:val="16"/>
              </w:rPr>
            </w:pPr>
            <w:r w:rsidRPr="00613E0D">
              <w:rPr>
                <w:sz w:val="16"/>
                <w:szCs w:val="16"/>
              </w:rPr>
              <w:t>CO03 sa plní iba cez finančné nástroje (SIH). Cieľová hodnota "20" bola úmerne znížená v revízii k verzii 6.0 z dôvodu zníženia alokác</w:t>
            </w:r>
            <w:r>
              <w:rPr>
                <w:sz w:val="16"/>
                <w:szCs w:val="16"/>
              </w:rPr>
              <w:t xml:space="preserve">ie v MRR o 30% a to na hodnotu </w:t>
            </w:r>
            <w:r w:rsidRPr="00613E0D">
              <w:rPr>
                <w:sz w:val="16"/>
                <w:szCs w:val="16"/>
              </w:rPr>
              <w:t xml:space="preserve">"14". Následne v revízii k verzii 8.1 bola hodnota opäť  úmerne znížená z dôvodu presunu nevyužitej alokácie v SIH a to o 79% na hodnotu "3". Toto zníženie však nereflektovalo na implementačnú prax, ktorá v čase revízii ešte absentovala, </w:t>
            </w:r>
            <w:proofErr w:type="spellStart"/>
            <w:r w:rsidRPr="00613E0D">
              <w:rPr>
                <w:sz w:val="16"/>
                <w:szCs w:val="16"/>
              </w:rPr>
              <w:t>t.j</w:t>
            </w:r>
            <w:proofErr w:type="spellEnd"/>
            <w:r w:rsidRPr="00613E0D">
              <w:rPr>
                <w:sz w:val="16"/>
                <w:szCs w:val="16"/>
              </w:rPr>
              <w:t xml:space="preserve">. SO MK SR stále pracoval s predpokladom, že by hodnota "3" mohla byť dosiahnutá. </w:t>
            </w:r>
            <w:r>
              <w:rPr>
                <w:sz w:val="16"/>
                <w:szCs w:val="16"/>
              </w:rPr>
              <w:t xml:space="preserve">Znížením </w:t>
            </w:r>
            <w:r w:rsidRPr="00613E0D">
              <w:rPr>
                <w:sz w:val="16"/>
                <w:szCs w:val="16"/>
              </w:rPr>
              <w:t>alokácie pre SIH je zrejmé, že hodnota "3" v MRR nebude dosiahnutá</w:t>
            </w:r>
            <w:r>
              <w:rPr>
                <w:sz w:val="16"/>
                <w:szCs w:val="16"/>
              </w:rPr>
              <w:t>. Dosiahnutím hodnoty „1“ bude uspokojený dopyt v danej oblasti podpory.</w:t>
            </w:r>
            <w:r w:rsidRPr="00613E0D">
              <w:rPr>
                <w:sz w:val="16"/>
                <w:szCs w:val="16"/>
              </w:rPr>
              <w:t xml:space="preserve"> </w:t>
            </w:r>
          </w:p>
        </w:tc>
      </w:tr>
      <w:tr w:rsidR="00377D51" w:rsidRPr="00531545" w14:paraId="67058E6E"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3273438" w14:textId="77777777" w:rsidR="00377D51" w:rsidRPr="00531545" w:rsidRDefault="00377D51" w:rsidP="00744056">
            <w:pPr>
              <w:spacing w:before="40" w:after="40" w:line="245" w:lineRule="auto"/>
              <w:rPr>
                <w:sz w:val="16"/>
                <w:szCs w:val="16"/>
              </w:rPr>
            </w:pPr>
            <w:r>
              <w:rPr>
                <w:sz w:val="16"/>
                <w:szCs w:val="16"/>
              </w:rPr>
              <w:t>CO03</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20B2209" w14:textId="77777777" w:rsidR="00377D51" w:rsidRPr="00531545" w:rsidRDefault="00377D51" w:rsidP="00744056">
            <w:pPr>
              <w:spacing w:before="40" w:after="40" w:line="245" w:lineRule="auto"/>
              <w:rPr>
                <w:sz w:val="16"/>
                <w:szCs w:val="16"/>
              </w:rPr>
            </w:pPr>
            <w:r>
              <w:rPr>
                <w:sz w:val="16"/>
                <w:szCs w:val="16"/>
              </w:rPr>
              <w:t>Počet podnikov, ktoré dostávajú finančnú podporu inú ako granty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0257702" w14:textId="77777777" w:rsidR="00377D51" w:rsidRPr="00531545" w:rsidRDefault="00377D51" w:rsidP="00744056">
            <w:pPr>
              <w:spacing w:before="40" w:after="40" w:line="245" w:lineRule="auto"/>
              <w:jc w:val="center"/>
              <w:rPr>
                <w:bCs/>
                <w:sz w:val="16"/>
                <w:szCs w:val="16"/>
              </w:rPr>
            </w:pPr>
            <w:r>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85342FF" w14:textId="77777777" w:rsidR="00377D51" w:rsidRPr="00531545" w:rsidRDefault="00377D51" w:rsidP="00744056">
            <w:pPr>
              <w:spacing w:before="40" w:after="40" w:line="245" w:lineRule="auto"/>
              <w:jc w:val="center"/>
              <w:rPr>
                <w:sz w:val="16"/>
                <w:szCs w:val="16"/>
              </w:rPr>
            </w:pPr>
            <w:r>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3E151C" w14:textId="77777777" w:rsidR="00377D51" w:rsidRPr="00531545" w:rsidRDefault="00377D51" w:rsidP="00744056">
            <w:pPr>
              <w:spacing w:before="40" w:after="40" w:line="245" w:lineRule="auto"/>
              <w:jc w:val="center"/>
              <w:rPr>
                <w:bCs/>
                <w:sz w:val="16"/>
                <w:szCs w:val="16"/>
              </w:rPr>
            </w:pPr>
            <w:r>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1BCB302" w14:textId="77777777" w:rsidR="00377D51" w:rsidRPr="00531545" w:rsidRDefault="00377D51" w:rsidP="00744056">
            <w:pPr>
              <w:spacing w:before="40" w:after="40" w:line="245" w:lineRule="auto"/>
              <w:jc w:val="center"/>
              <w:rPr>
                <w:sz w:val="16"/>
                <w:szCs w:val="16"/>
              </w:rPr>
            </w:pPr>
            <w:r>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F2C137E" w14:textId="77777777" w:rsidR="00377D51" w:rsidRPr="00531545" w:rsidRDefault="00377D51" w:rsidP="00744056">
            <w:pPr>
              <w:spacing w:before="40" w:after="40" w:line="245" w:lineRule="auto"/>
              <w:jc w:val="center"/>
              <w:rPr>
                <w:sz w:val="16"/>
                <w:szCs w:val="16"/>
              </w:rPr>
            </w:pPr>
            <w:r>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F4925C" w14:textId="77777777" w:rsidR="00377D51" w:rsidRPr="00531545" w:rsidDel="00967649" w:rsidRDefault="00377D51" w:rsidP="00744056">
            <w:pPr>
              <w:spacing w:before="40" w:after="40" w:line="245" w:lineRule="auto"/>
              <w:jc w:val="center"/>
              <w:rPr>
                <w:sz w:val="16"/>
                <w:szCs w:val="16"/>
              </w:rPr>
            </w:pPr>
            <w:r>
              <w:rPr>
                <w:sz w:val="16"/>
                <w:szCs w:val="16"/>
              </w:rPr>
              <w:t>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9F85C5" w14:textId="77777777" w:rsidR="00377D51" w:rsidRPr="00531545" w:rsidRDefault="00377D51" w:rsidP="00744056">
            <w:pPr>
              <w:spacing w:before="40" w:after="40" w:line="245" w:lineRule="auto"/>
              <w:jc w:val="center"/>
              <w:rPr>
                <w:sz w:val="16"/>
                <w:szCs w:val="16"/>
              </w:rPr>
            </w:pPr>
            <w:r>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7DBD92A" w14:textId="77777777" w:rsidR="00377D51" w:rsidRPr="00531545" w:rsidRDefault="00377D51" w:rsidP="00744056">
            <w:pPr>
              <w:spacing w:before="40" w:after="40" w:line="245" w:lineRule="auto"/>
              <w:jc w:val="center"/>
              <w:rPr>
                <w:bCs/>
                <w:sz w:val="16"/>
                <w:szCs w:val="16"/>
              </w:rPr>
            </w:pPr>
            <w:r>
              <w:rPr>
                <w:sz w:val="16"/>
                <w:szCs w:val="16"/>
              </w:rPr>
              <w:t>ročne</w:t>
            </w:r>
          </w:p>
        </w:tc>
        <w:tc>
          <w:tcPr>
            <w:tcW w:w="5745" w:type="dxa"/>
          </w:tcPr>
          <w:p w14:paraId="4827112D" w14:textId="77777777" w:rsidR="00377D51" w:rsidRDefault="00377D51" w:rsidP="00744056">
            <w:pPr>
              <w:pStyle w:val="Textkomentra"/>
              <w:spacing w:before="40" w:after="40" w:line="245" w:lineRule="auto"/>
              <w:jc w:val="both"/>
              <w:rPr>
                <w:sz w:val="16"/>
                <w:szCs w:val="16"/>
              </w:rPr>
            </w:pPr>
            <w:r w:rsidRPr="001A50A2">
              <w:rPr>
                <w:sz w:val="16"/>
                <w:szCs w:val="16"/>
              </w:rPr>
              <w:t xml:space="preserve">SO MK SR navrhuje </w:t>
            </w:r>
            <w:r w:rsidRPr="008E24F7">
              <w:rPr>
                <w:b/>
                <w:sz w:val="16"/>
                <w:szCs w:val="16"/>
              </w:rPr>
              <w:t>doplniť MU</w:t>
            </w:r>
            <w:r w:rsidRPr="001A50A2">
              <w:rPr>
                <w:sz w:val="16"/>
                <w:szCs w:val="16"/>
              </w:rPr>
              <w:t xml:space="preserve"> programu </w:t>
            </w:r>
            <w:r w:rsidRPr="008E24F7">
              <w:rPr>
                <w:b/>
                <w:sz w:val="16"/>
                <w:szCs w:val="16"/>
              </w:rPr>
              <w:t>aj</w:t>
            </w:r>
            <w:r>
              <w:rPr>
                <w:sz w:val="16"/>
                <w:szCs w:val="16"/>
              </w:rPr>
              <w:t xml:space="preserve"> </w:t>
            </w:r>
            <w:r w:rsidRPr="001A50A2">
              <w:rPr>
                <w:sz w:val="16"/>
                <w:szCs w:val="16"/>
              </w:rPr>
              <w:t>pre VRR</w:t>
            </w:r>
            <w:r>
              <w:rPr>
                <w:sz w:val="16"/>
                <w:szCs w:val="16"/>
              </w:rPr>
              <w:t>.</w:t>
            </w:r>
          </w:p>
          <w:p w14:paraId="1DCABB00" w14:textId="77777777" w:rsidR="00377D51" w:rsidRPr="00613E0D" w:rsidRDefault="00377D51" w:rsidP="00744056">
            <w:pPr>
              <w:pStyle w:val="Textkomentra"/>
              <w:spacing w:before="40" w:after="40" w:line="245" w:lineRule="auto"/>
              <w:jc w:val="both"/>
              <w:rPr>
                <w:sz w:val="16"/>
                <w:szCs w:val="16"/>
              </w:rPr>
            </w:pPr>
            <w:r w:rsidRPr="00613E0D">
              <w:rPr>
                <w:sz w:val="16"/>
                <w:szCs w:val="16"/>
              </w:rPr>
              <w:t xml:space="preserve">CO03 sa plní iba cez finančné nástroje (SIH), ktorý sa rozhodol podporiť jeden podnik vo VRR. Pôvodne boli intervencie nastavené iba pre MRR, preto CO03 neexistoval pre VRR. </w:t>
            </w:r>
          </w:p>
          <w:p w14:paraId="0574A5B4" w14:textId="77777777" w:rsidR="00377D51" w:rsidRPr="00531545" w:rsidRDefault="00377D51" w:rsidP="00744056">
            <w:pPr>
              <w:pStyle w:val="Textkomentra"/>
              <w:spacing w:before="40" w:after="40" w:line="245" w:lineRule="auto"/>
              <w:jc w:val="both"/>
              <w:rPr>
                <w:sz w:val="16"/>
                <w:szCs w:val="16"/>
              </w:rPr>
            </w:pPr>
            <w:r w:rsidRPr="00613E0D">
              <w:rPr>
                <w:sz w:val="16"/>
                <w:szCs w:val="16"/>
              </w:rPr>
              <w:t xml:space="preserve">Aby bolo možné </w:t>
            </w:r>
            <w:proofErr w:type="spellStart"/>
            <w:r>
              <w:rPr>
                <w:sz w:val="16"/>
                <w:szCs w:val="16"/>
              </w:rPr>
              <w:t>od</w:t>
            </w:r>
            <w:r w:rsidRPr="00613E0D">
              <w:rPr>
                <w:sz w:val="16"/>
                <w:szCs w:val="16"/>
              </w:rPr>
              <w:t>počtovať</w:t>
            </w:r>
            <w:proofErr w:type="spellEnd"/>
            <w:r w:rsidRPr="00613E0D">
              <w:rPr>
                <w:sz w:val="16"/>
                <w:szCs w:val="16"/>
              </w:rPr>
              <w:t xml:space="preserve"> počet podporených podnikov, ktoré dostávajú finančnú pomoc inú ako granty vo VRR, na</w:t>
            </w:r>
            <w:r>
              <w:rPr>
                <w:sz w:val="16"/>
                <w:szCs w:val="16"/>
              </w:rPr>
              <w:t>vrhujeme doplniť CO03 pre VRR s </w:t>
            </w:r>
            <w:r w:rsidRPr="00613E0D">
              <w:rPr>
                <w:sz w:val="16"/>
                <w:szCs w:val="16"/>
              </w:rPr>
              <w:t xml:space="preserve">cieľovou hodnotou "1", čo je aktuálna </w:t>
            </w:r>
            <w:proofErr w:type="spellStart"/>
            <w:r w:rsidRPr="00613E0D">
              <w:rPr>
                <w:sz w:val="16"/>
                <w:szCs w:val="16"/>
              </w:rPr>
              <w:t>zazmluvnená</w:t>
            </w:r>
            <w:proofErr w:type="spellEnd"/>
            <w:r w:rsidRPr="00613E0D">
              <w:rPr>
                <w:sz w:val="16"/>
                <w:szCs w:val="16"/>
              </w:rPr>
              <w:t xml:space="preserve"> hodnota. Nakoľko viac podnikov cez SIH podporených nebude, možno predpokladať, že to bude zároveň finálna hodnota CO03 pre VRR. </w:t>
            </w:r>
          </w:p>
        </w:tc>
      </w:tr>
      <w:tr w:rsidR="00377D51" w:rsidRPr="00531545" w14:paraId="02E0428C"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B35F9F6" w14:textId="77777777" w:rsidR="00377D51" w:rsidRDefault="00377D51" w:rsidP="00744056">
            <w:pPr>
              <w:spacing w:before="40" w:after="40" w:line="245" w:lineRule="auto"/>
              <w:rPr>
                <w:sz w:val="16"/>
                <w:szCs w:val="16"/>
              </w:rPr>
            </w:pPr>
            <w:r w:rsidRPr="004E6D0E">
              <w:rPr>
                <w:sz w:val="16"/>
                <w:szCs w:val="16"/>
              </w:rPr>
              <w:t>C</w:t>
            </w:r>
            <w:r>
              <w:rPr>
                <w:sz w:val="16"/>
                <w:szCs w:val="16"/>
              </w:rPr>
              <w:t>O</w:t>
            </w:r>
            <w:r w:rsidRPr="004E6D0E">
              <w:rPr>
                <w:sz w:val="16"/>
                <w:szCs w:val="16"/>
              </w:rPr>
              <w:t xml:space="preserve">05 </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0C330B4" w14:textId="77777777" w:rsidR="00377D51" w:rsidRDefault="00377D51" w:rsidP="00744056">
            <w:pPr>
              <w:spacing w:before="40" w:after="40" w:line="245" w:lineRule="auto"/>
              <w:rPr>
                <w:sz w:val="16"/>
                <w:szCs w:val="16"/>
              </w:rPr>
            </w:pPr>
            <w:r w:rsidRPr="004E6D0E">
              <w:rPr>
                <w:sz w:val="16"/>
                <w:szCs w:val="16"/>
              </w:rPr>
              <w:t xml:space="preserve">Počet podporených nových podnikov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B30372B" w14:textId="77777777" w:rsidR="00377D51" w:rsidRDefault="00377D51" w:rsidP="00744056">
            <w:pPr>
              <w:spacing w:before="40" w:after="40" w:line="245" w:lineRule="auto"/>
              <w:jc w:val="center"/>
              <w:rPr>
                <w:sz w:val="16"/>
                <w:szCs w:val="16"/>
              </w:rPr>
            </w:pPr>
            <w:r w:rsidRPr="004E6D0E">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3C134EE" w14:textId="77777777" w:rsidR="00377D51"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6184CCD" w14:textId="77777777" w:rsidR="00377D51" w:rsidRDefault="00377D51" w:rsidP="00744056">
            <w:pPr>
              <w:spacing w:before="40" w:after="40" w:line="245" w:lineRule="auto"/>
              <w:jc w:val="center"/>
              <w:rPr>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D47331C" w14:textId="77777777" w:rsidR="00377D51"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807C76" w14:textId="77777777" w:rsidR="00377D51"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3372B1" w14:textId="77777777" w:rsidR="00377D51" w:rsidRDefault="00377D51" w:rsidP="00744056">
            <w:pPr>
              <w:spacing w:before="40" w:after="40" w:line="245" w:lineRule="auto"/>
              <w:jc w:val="center"/>
              <w:rPr>
                <w:sz w:val="16"/>
                <w:szCs w:val="16"/>
              </w:rPr>
            </w:pPr>
          </w:p>
          <w:p w14:paraId="13C3B025" w14:textId="77777777" w:rsidR="00377D51" w:rsidRDefault="00377D51" w:rsidP="00744056">
            <w:pPr>
              <w:spacing w:before="40" w:after="40" w:line="245" w:lineRule="auto"/>
              <w:jc w:val="center"/>
              <w:rPr>
                <w:sz w:val="16"/>
                <w:szCs w:val="16"/>
              </w:rPr>
            </w:pPr>
            <w:r>
              <w:rPr>
                <w:sz w:val="16"/>
                <w:szCs w:val="16"/>
              </w:rPr>
              <w:t>5</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54925A0" w14:textId="77777777" w:rsidR="00377D51"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2354F14" w14:textId="77777777" w:rsidR="00377D51" w:rsidRDefault="00377D51" w:rsidP="00744056">
            <w:pPr>
              <w:spacing w:before="40" w:after="40" w:line="245" w:lineRule="auto"/>
              <w:jc w:val="center"/>
              <w:rPr>
                <w:sz w:val="16"/>
                <w:szCs w:val="16"/>
              </w:rPr>
            </w:pPr>
            <w:r w:rsidRPr="004E6D0E">
              <w:rPr>
                <w:sz w:val="16"/>
                <w:szCs w:val="16"/>
              </w:rPr>
              <w:t>ročne</w:t>
            </w:r>
          </w:p>
        </w:tc>
        <w:tc>
          <w:tcPr>
            <w:tcW w:w="5745" w:type="dxa"/>
          </w:tcPr>
          <w:p w14:paraId="022797F3" w14:textId="77777777" w:rsidR="00377D51" w:rsidRPr="002007E9" w:rsidRDefault="00377D51" w:rsidP="00744056">
            <w:pPr>
              <w:pStyle w:val="Textkomentra"/>
              <w:spacing w:before="40" w:after="40" w:line="245" w:lineRule="auto"/>
              <w:jc w:val="both"/>
              <w:rPr>
                <w:sz w:val="16"/>
                <w:szCs w:val="16"/>
              </w:rPr>
            </w:pPr>
            <w:r w:rsidRPr="002007E9">
              <w:rPr>
                <w:sz w:val="16"/>
                <w:szCs w:val="16"/>
              </w:rPr>
              <w:t>SO MK SR navrhuje úpravu cieľovej hodnoty CO05.</w:t>
            </w:r>
          </w:p>
          <w:p w14:paraId="43FCE51F" w14:textId="77777777" w:rsidR="00377D51" w:rsidRPr="002007E9" w:rsidRDefault="00377D51" w:rsidP="00744056">
            <w:pPr>
              <w:pStyle w:val="Textkomentra"/>
              <w:spacing w:before="40" w:after="40" w:line="245" w:lineRule="auto"/>
              <w:jc w:val="both"/>
              <w:rPr>
                <w:sz w:val="16"/>
                <w:szCs w:val="16"/>
              </w:rPr>
            </w:pPr>
            <w:r w:rsidRPr="002007E9">
              <w:rPr>
                <w:sz w:val="16"/>
                <w:szCs w:val="16"/>
              </w:rPr>
              <w:t xml:space="preserve">Hodnota CO05 je podmnožinou CO02 alebo CO03 a následne CO01. Preto nie je možné, aby hodnota CO05 bola vyššia ako hodnota CO02 alebo CO03 v danom type regiónu. Aktuálna hodnota "68" je chybná - bez vyššie uvedenej logickej prepojenosti. </w:t>
            </w:r>
          </w:p>
          <w:p w14:paraId="57EEB7AB" w14:textId="77777777" w:rsidR="00377D51" w:rsidRPr="002007E9" w:rsidRDefault="00377D51" w:rsidP="00744056">
            <w:pPr>
              <w:pStyle w:val="Textkomentra"/>
              <w:spacing w:before="40" w:after="40" w:line="245" w:lineRule="auto"/>
              <w:jc w:val="both"/>
              <w:rPr>
                <w:sz w:val="16"/>
                <w:szCs w:val="16"/>
              </w:rPr>
            </w:pPr>
            <w:r w:rsidRPr="002007E9">
              <w:rPr>
                <w:sz w:val="16"/>
                <w:szCs w:val="16"/>
              </w:rPr>
              <w:t xml:space="preserve">Ak by sme aj vychádzali z predpokladu, že všetky podniky, ktoré dostali podporu vo forme grantu (9) aj všetky projekty, ktoré dostali podporu vo forme inej ako grant (1) sú zároveň aj novými podnikmi, nemôže byť hodnota CO05 vyššia ako "10" (9+1). Podľa aktuálneho stavu všetky nové podniky dostávajú podporu vo forme grantu a preto hodnota CO05 nemôže byť vyššia ako "9". </w:t>
            </w:r>
          </w:p>
          <w:p w14:paraId="7C09110E" w14:textId="77777777" w:rsidR="00377D51" w:rsidRPr="001A50A2" w:rsidRDefault="00377D51" w:rsidP="00744056">
            <w:pPr>
              <w:pStyle w:val="Textkomentra"/>
              <w:spacing w:before="40" w:after="40" w:line="245" w:lineRule="auto"/>
              <w:jc w:val="both"/>
              <w:rPr>
                <w:sz w:val="16"/>
                <w:szCs w:val="16"/>
              </w:rPr>
            </w:pPr>
            <w:r w:rsidRPr="002007E9">
              <w:rPr>
                <w:sz w:val="16"/>
                <w:szCs w:val="16"/>
              </w:rPr>
              <w:t>Bez tejto úpravy je aktuálne nastavenie prepojenosti medzi CO05 a CO02 nasledovný: "9 podnikov dostáva grant a z toho 68 je nových podnikov". Tento logický</w:t>
            </w:r>
            <w:r>
              <w:rPr>
                <w:sz w:val="16"/>
                <w:szCs w:val="16"/>
              </w:rPr>
              <w:t xml:space="preserve"> nesúlad navrhujeme odstrániť. </w:t>
            </w:r>
          </w:p>
        </w:tc>
      </w:tr>
      <w:tr w:rsidR="00377D51" w:rsidRPr="00531545" w14:paraId="7D027EE9"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659D18" w14:textId="77777777" w:rsidR="00377D51" w:rsidRPr="004E6D0E" w:rsidRDefault="00377D51" w:rsidP="00744056">
            <w:pPr>
              <w:spacing w:before="40" w:after="40" w:line="245" w:lineRule="auto"/>
              <w:rPr>
                <w:sz w:val="16"/>
                <w:szCs w:val="16"/>
              </w:rPr>
            </w:pPr>
            <w:r w:rsidRPr="004E6D0E">
              <w:rPr>
                <w:bCs/>
                <w:sz w:val="16"/>
                <w:szCs w:val="16"/>
              </w:rPr>
              <w:t>C</w:t>
            </w:r>
            <w:r>
              <w:rPr>
                <w:bCs/>
                <w:sz w:val="16"/>
                <w:szCs w:val="16"/>
              </w:rPr>
              <w:t>O</w:t>
            </w:r>
            <w:r w:rsidRPr="004E6D0E">
              <w:rPr>
                <w:bCs/>
                <w:sz w:val="16"/>
                <w:szCs w:val="16"/>
              </w:rPr>
              <w:t>032</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5489052" w14:textId="77777777" w:rsidR="00377D51" w:rsidRPr="004E6D0E" w:rsidRDefault="00377D51" w:rsidP="00744056">
            <w:pPr>
              <w:spacing w:before="40" w:after="40" w:line="245" w:lineRule="auto"/>
              <w:rPr>
                <w:sz w:val="16"/>
                <w:szCs w:val="16"/>
              </w:rPr>
            </w:pPr>
            <w:r w:rsidRPr="004E6D0E">
              <w:rPr>
                <w:sz w:val="16"/>
                <w:szCs w:val="16"/>
              </w:rPr>
              <w:t xml:space="preserve">Zníženie ročnej spotreby primárnej energie vo verejných budovách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BD541E0" w14:textId="77777777" w:rsidR="00377D51" w:rsidRPr="004E6D0E" w:rsidRDefault="00377D51" w:rsidP="00744056">
            <w:pPr>
              <w:spacing w:before="40" w:after="40" w:line="245" w:lineRule="auto"/>
              <w:jc w:val="center"/>
              <w:rPr>
                <w:sz w:val="16"/>
                <w:szCs w:val="16"/>
              </w:rPr>
            </w:pPr>
            <w:r w:rsidRPr="004E6D0E">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F4D0F08" w14:textId="77777777" w:rsidR="00377D51" w:rsidRPr="004E6D0E"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A468BE2" w14:textId="77777777" w:rsidR="00377D51" w:rsidRPr="004E6D0E" w:rsidRDefault="00377D51" w:rsidP="00744056">
            <w:pPr>
              <w:spacing w:before="40" w:after="40" w:line="245" w:lineRule="auto"/>
              <w:jc w:val="center"/>
              <w:rPr>
                <w:sz w:val="16"/>
                <w:szCs w:val="16"/>
              </w:rPr>
            </w:pPr>
            <w:r w:rsidRPr="004E6D0E">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F713F1B" w14:textId="77777777" w:rsidR="00377D51" w:rsidRPr="004E6D0E"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68EDF21" w14:textId="77777777" w:rsidR="00377D51" w:rsidRPr="004E6D0E"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212B32F" w14:textId="77777777" w:rsidR="00377D51" w:rsidRDefault="00377D51" w:rsidP="00744056">
            <w:pPr>
              <w:spacing w:before="40" w:after="40" w:line="245" w:lineRule="auto"/>
              <w:jc w:val="center"/>
              <w:rPr>
                <w:sz w:val="16"/>
                <w:szCs w:val="16"/>
              </w:rPr>
            </w:pPr>
            <w:r>
              <w:rPr>
                <w:sz w:val="16"/>
                <w:szCs w:val="16"/>
              </w:rPr>
              <w:t>600</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270BC69" w14:textId="77777777" w:rsidR="00377D51" w:rsidRPr="004E6D0E"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9F8D3AC" w14:textId="77777777" w:rsidR="00377D51" w:rsidRPr="004E6D0E" w:rsidRDefault="00377D51" w:rsidP="00744056">
            <w:pPr>
              <w:spacing w:before="40" w:after="40" w:line="245" w:lineRule="auto"/>
              <w:jc w:val="center"/>
              <w:rPr>
                <w:sz w:val="16"/>
                <w:szCs w:val="16"/>
              </w:rPr>
            </w:pPr>
            <w:r w:rsidRPr="004E6D0E">
              <w:rPr>
                <w:sz w:val="16"/>
                <w:szCs w:val="16"/>
              </w:rPr>
              <w:t>ročne</w:t>
            </w:r>
          </w:p>
        </w:tc>
        <w:tc>
          <w:tcPr>
            <w:tcW w:w="5745" w:type="dxa"/>
          </w:tcPr>
          <w:p w14:paraId="39DD61EC" w14:textId="77777777" w:rsidR="00377D51" w:rsidRPr="002007E9" w:rsidRDefault="00377D51" w:rsidP="00744056">
            <w:pPr>
              <w:pStyle w:val="Textkomentra"/>
              <w:spacing w:before="40" w:after="40" w:line="245" w:lineRule="auto"/>
              <w:jc w:val="both"/>
              <w:rPr>
                <w:sz w:val="16"/>
                <w:szCs w:val="16"/>
              </w:rPr>
            </w:pPr>
            <w:r w:rsidRPr="002007E9">
              <w:rPr>
                <w:sz w:val="16"/>
                <w:szCs w:val="16"/>
              </w:rPr>
              <w:t xml:space="preserve">Hodnota CO32 bola nastavená ako indikatívna s tým, že nie je možné vopred </w:t>
            </w:r>
            <w:proofErr w:type="spellStart"/>
            <w:r w:rsidRPr="002007E9">
              <w:rPr>
                <w:sz w:val="16"/>
                <w:szCs w:val="16"/>
              </w:rPr>
              <w:t>predikovať</w:t>
            </w:r>
            <w:proofErr w:type="spellEnd"/>
            <w:r w:rsidRPr="002007E9">
              <w:rPr>
                <w:sz w:val="16"/>
                <w:szCs w:val="16"/>
              </w:rPr>
              <w:t xml:space="preserve">, aké typy projektov sa budú realizovať, </w:t>
            </w:r>
            <w:proofErr w:type="spellStart"/>
            <w:r w:rsidRPr="002007E9">
              <w:rPr>
                <w:sz w:val="16"/>
                <w:szCs w:val="16"/>
              </w:rPr>
              <w:t>t.j</w:t>
            </w:r>
            <w:proofErr w:type="spellEnd"/>
            <w:r w:rsidRPr="002007E9">
              <w:rPr>
                <w:sz w:val="16"/>
                <w:szCs w:val="16"/>
              </w:rPr>
              <w:t xml:space="preserve">. či budú zamerané aj na znižovanie ročnej spotreby primárnej energie vo verejných budovách. Z charakteru intervencií a typu aktivít totiž </w:t>
            </w:r>
            <w:proofErr w:type="spellStart"/>
            <w:r w:rsidRPr="002007E9">
              <w:rPr>
                <w:sz w:val="16"/>
                <w:szCs w:val="16"/>
              </w:rPr>
              <w:t>defaultne</w:t>
            </w:r>
            <w:proofErr w:type="spellEnd"/>
            <w:r w:rsidRPr="002007E9">
              <w:rPr>
                <w:sz w:val="16"/>
                <w:szCs w:val="16"/>
              </w:rPr>
              <w:t xml:space="preserve"> nevyplýva, že všetky projekty musia byť zamerané na energetickú rekonštrukciu. </w:t>
            </w:r>
            <w:r>
              <w:rPr>
                <w:sz w:val="16"/>
                <w:szCs w:val="16"/>
              </w:rPr>
              <w:t>Napriek tomu, že ide o indikatívnu hodnotu, SO MK SR navrhuje zníženie hodnoty na základe identifikácie dopytu po danej intervencií</w:t>
            </w:r>
            <w:r w:rsidRPr="002007E9">
              <w:rPr>
                <w:sz w:val="16"/>
                <w:szCs w:val="16"/>
              </w:rPr>
              <w:t xml:space="preserve">. </w:t>
            </w:r>
          </w:p>
        </w:tc>
      </w:tr>
      <w:tr w:rsidR="00377D51" w:rsidRPr="00531545" w14:paraId="3C251E4E"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3CBAB3A" w14:textId="77777777" w:rsidR="00377D51" w:rsidRPr="00517C8C" w:rsidRDefault="00377D51" w:rsidP="00744056">
            <w:pPr>
              <w:spacing w:before="40" w:after="40" w:line="245" w:lineRule="auto"/>
              <w:rPr>
                <w:bCs/>
                <w:strike/>
                <w:sz w:val="16"/>
                <w:szCs w:val="16"/>
              </w:rPr>
            </w:pPr>
            <w:r w:rsidRPr="00517C8C">
              <w:rPr>
                <w:bCs/>
                <w:strike/>
                <w:sz w:val="16"/>
                <w:szCs w:val="16"/>
              </w:rPr>
              <w:t>CO032</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774B035" w14:textId="77777777" w:rsidR="00377D51" w:rsidRPr="00517C8C" w:rsidRDefault="00377D51" w:rsidP="00744056">
            <w:pPr>
              <w:spacing w:before="40" w:after="40" w:line="245" w:lineRule="auto"/>
              <w:rPr>
                <w:strike/>
                <w:sz w:val="16"/>
                <w:szCs w:val="16"/>
              </w:rPr>
            </w:pPr>
            <w:r w:rsidRPr="00517C8C">
              <w:rPr>
                <w:strike/>
                <w:sz w:val="16"/>
                <w:szCs w:val="16"/>
              </w:rPr>
              <w:t xml:space="preserve">Zníženie ročnej spotreby primárnej energie vo verejných budovách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2989673" w14:textId="77777777" w:rsidR="00377D51" w:rsidRPr="00517C8C" w:rsidRDefault="00377D51" w:rsidP="00744056">
            <w:pPr>
              <w:spacing w:before="40" w:after="40" w:line="245" w:lineRule="auto"/>
              <w:jc w:val="center"/>
              <w:rPr>
                <w:strike/>
                <w:sz w:val="16"/>
                <w:szCs w:val="16"/>
              </w:rPr>
            </w:pPr>
            <w:r w:rsidRPr="00517C8C">
              <w:rPr>
                <w:strike/>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2D0B8A1" w14:textId="77777777" w:rsidR="00377D51" w:rsidRPr="00517C8C" w:rsidRDefault="00377D51" w:rsidP="00744056">
            <w:pPr>
              <w:spacing w:before="40" w:after="40" w:line="245" w:lineRule="auto"/>
              <w:jc w:val="center"/>
              <w:rPr>
                <w:strike/>
                <w:sz w:val="16"/>
                <w:szCs w:val="16"/>
              </w:rPr>
            </w:pPr>
            <w:r w:rsidRPr="00517C8C">
              <w:rPr>
                <w:strike/>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C47E641" w14:textId="77777777" w:rsidR="00377D51" w:rsidRPr="00517C8C" w:rsidRDefault="00377D51" w:rsidP="00744056">
            <w:pPr>
              <w:spacing w:before="40" w:after="40" w:line="245" w:lineRule="auto"/>
              <w:jc w:val="center"/>
              <w:rPr>
                <w:strike/>
                <w:sz w:val="16"/>
                <w:szCs w:val="16"/>
              </w:rPr>
            </w:pPr>
            <w:r w:rsidRPr="00517C8C">
              <w:rPr>
                <w:strike/>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594FC9"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656BBBF"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6D4D41" w14:textId="77777777" w:rsidR="00377D51" w:rsidRPr="00517C8C" w:rsidRDefault="00377D51" w:rsidP="00744056">
            <w:pPr>
              <w:spacing w:before="40" w:after="40" w:line="245" w:lineRule="auto"/>
              <w:jc w:val="center"/>
              <w:rPr>
                <w:strike/>
                <w:sz w:val="16"/>
                <w:szCs w:val="16"/>
              </w:rPr>
            </w:pPr>
            <w:r w:rsidRPr="00517C8C">
              <w:rPr>
                <w:strike/>
                <w:sz w:val="16"/>
                <w:szCs w:val="16"/>
              </w:rPr>
              <w:t>2 644 019</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439794D" w14:textId="77777777" w:rsidR="00377D51" w:rsidRPr="00517C8C" w:rsidRDefault="00377D51" w:rsidP="00744056">
            <w:pPr>
              <w:spacing w:before="40" w:after="40" w:line="245" w:lineRule="auto"/>
              <w:jc w:val="center"/>
              <w:rPr>
                <w:strike/>
                <w:sz w:val="16"/>
                <w:szCs w:val="16"/>
              </w:rPr>
            </w:pPr>
            <w:r w:rsidRPr="00517C8C">
              <w:rPr>
                <w:strike/>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BEF4BC7" w14:textId="77777777" w:rsidR="00377D51" w:rsidRPr="00517C8C" w:rsidRDefault="00377D51" w:rsidP="00744056">
            <w:pPr>
              <w:spacing w:before="40" w:after="40" w:line="245" w:lineRule="auto"/>
              <w:jc w:val="center"/>
              <w:rPr>
                <w:strike/>
                <w:sz w:val="16"/>
                <w:szCs w:val="16"/>
              </w:rPr>
            </w:pPr>
            <w:r w:rsidRPr="00517C8C">
              <w:rPr>
                <w:strike/>
                <w:sz w:val="16"/>
                <w:szCs w:val="16"/>
              </w:rPr>
              <w:t>ročne</w:t>
            </w:r>
          </w:p>
        </w:tc>
        <w:tc>
          <w:tcPr>
            <w:tcW w:w="5745" w:type="dxa"/>
          </w:tcPr>
          <w:p w14:paraId="463ACBBD" w14:textId="77777777" w:rsidR="00377D51" w:rsidRPr="002007E9" w:rsidRDefault="00377D51" w:rsidP="00744056">
            <w:pPr>
              <w:pStyle w:val="Textkomentra"/>
              <w:spacing w:before="40" w:after="40" w:line="245" w:lineRule="auto"/>
              <w:rPr>
                <w:sz w:val="16"/>
                <w:szCs w:val="16"/>
              </w:rPr>
            </w:pPr>
            <w:r w:rsidRPr="002007E9">
              <w:rPr>
                <w:sz w:val="16"/>
                <w:szCs w:val="16"/>
              </w:rPr>
              <w:t xml:space="preserve">Hodnota CO32 sa vo VRR nebude plniť a ku koncu roka 2023 bude nulová. Je to z dôvodu, že do výziev sa nezapojili subjekty, ktoré by realizovali také aktivity, ktoré by znižovali ročnú spotrebu primárnej energie vo verejných budovách. </w:t>
            </w:r>
          </w:p>
          <w:p w14:paraId="58A6DF36" w14:textId="77777777" w:rsidR="00377D51" w:rsidRPr="002007E9" w:rsidRDefault="00377D51" w:rsidP="00744056">
            <w:pPr>
              <w:pStyle w:val="Textkomentra"/>
              <w:spacing w:before="40" w:after="40" w:line="245" w:lineRule="auto"/>
              <w:rPr>
                <w:sz w:val="16"/>
                <w:szCs w:val="16"/>
              </w:rPr>
            </w:pPr>
            <w:r w:rsidRPr="002007E9">
              <w:rPr>
                <w:sz w:val="16"/>
                <w:szCs w:val="16"/>
              </w:rPr>
              <w:t>Napriek tomu, že cieľové hodnoty MU sú len indikatívne, t.</w:t>
            </w:r>
            <w:r>
              <w:rPr>
                <w:sz w:val="16"/>
                <w:szCs w:val="16"/>
              </w:rPr>
              <w:t xml:space="preserve"> </w:t>
            </w:r>
            <w:r w:rsidRPr="002007E9">
              <w:rPr>
                <w:sz w:val="16"/>
                <w:szCs w:val="16"/>
              </w:rPr>
              <w:t xml:space="preserve">j. je možné ich do </w:t>
            </w:r>
            <w:r w:rsidRPr="002007E9">
              <w:rPr>
                <w:sz w:val="16"/>
                <w:szCs w:val="16"/>
              </w:rPr>
              <w:lastRenderedPageBreak/>
              <w:t>konca roka 2023 neplniť, považuje SO MK SR za zbytočné, vykazovať medzi v rámci PO3 také MU, ktorých plnenie v roku 2023 bude nulové.</w:t>
            </w:r>
          </w:p>
          <w:p w14:paraId="14CDF462" w14:textId="77777777" w:rsidR="00377D51" w:rsidRPr="002007E9" w:rsidRDefault="00377D51" w:rsidP="00744056">
            <w:pPr>
              <w:pStyle w:val="Textkomentra"/>
              <w:spacing w:before="40" w:after="40" w:line="245" w:lineRule="auto"/>
              <w:rPr>
                <w:sz w:val="16"/>
                <w:szCs w:val="16"/>
              </w:rPr>
            </w:pPr>
            <w:r w:rsidRPr="002007E9">
              <w:rPr>
                <w:sz w:val="16"/>
                <w:szCs w:val="16"/>
              </w:rPr>
              <w:t xml:space="preserve">Na základe uvedeného navrhujeme CO032 pre VRR </w:t>
            </w:r>
            <w:r>
              <w:rPr>
                <w:b/>
                <w:sz w:val="16"/>
                <w:szCs w:val="16"/>
              </w:rPr>
              <w:t>odradiť</w:t>
            </w:r>
            <w:r w:rsidRPr="002007E9">
              <w:rPr>
                <w:sz w:val="16"/>
                <w:szCs w:val="16"/>
              </w:rPr>
              <w:t xml:space="preserve">. </w:t>
            </w:r>
          </w:p>
        </w:tc>
      </w:tr>
      <w:tr w:rsidR="00377D51" w:rsidRPr="00531545" w14:paraId="75896018"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770873D8" w14:textId="77777777" w:rsidR="00377D51" w:rsidRPr="00517C8C" w:rsidRDefault="00377D51" w:rsidP="00744056">
            <w:pPr>
              <w:spacing w:before="40" w:after="40" w:line="245" w:lineRule="auto"/>
              <w:rPr>
                <w:strike/>
                <w:sz w:val="16"/>
                <w:szCs w:val="16"/>
              </w:rPr>
            </w:pPr>
            <w:r w:rsidRPr="00517C8C">
              <w:rPr>
                <w:bCs/>
                <w:strike/>
                <w:sz w:val="16"/>
                <w:szCs w:val="16"/>
              </w:rPr>
              <w:lastRenderedPageBreak/>
              <w:t>O0224</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1A5119AF" w14:textId="77777777" w:rsidR="00377D51" w:rsidRPr="00517C8C" w:rsidRDefault="00377D51" w:rsidP="00744056">
            <w:pPr>
              <w:spacing w:before="40" w:after="40" w:line="245" w:lineRule="auto"/>
              <w:rPr>
                <w:strike/>
                <w:sz w:val="16"/>
                <w:szCs w:val="16"/>
              </w:rPr>
            </w:pPr>
            <w:r w:rsidRPr="00517C8C">
              <w:rPr>
                <w:strike/>
                <w:sz w:val="16"/>
                <w:szCs w:val="16"/>
              </w:rPr>
              <w:t>Podlahová plocha renovovaných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34531DED" w14:textId="77777777" w:rsidR="00377D51" w:rsidRPr="00517C8C" w:rsidRDefault="00377D51" w:rsidP="00744056">
            <w:pPr>
              <w:spacing w:before="40" w:after="40" w:line="245" w:lineRule="auto"/>
              <w:jc w:val="center"/>
              <w:rPr>
                <w:strike/>
                <w:sz w:val="16"/>
                <w:szCs w:val="16"/>
              </w:rPr>
            </w:pPr>
            <w:r w:rsidRPr="00517C8C">
              <w:rPr>
                <w:strike/>
                <w:sz w:val="16"/>
                <w:szCs w:val="16"/>
              </w:rPr>
              <w:t>m</w:t>
            </w:r>
            <w:r w:rsidRPr="00517C8C">
              <w:rPr>
                <w:strike/>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3AFCE48" w14:textId="77777777" w:rsidR="00377D51" w:rsidRPr="00517C8C" w:rsidRDefault="00377D51" w:rsidP="00744056">
            <w:pPr>
              <w:spacing w:before="40" w:after="40" w:line="245" w:lineRule="auto"/>
              <w:jc w:val="center"/>
              <w:rPr>
                <w:strike/>
                <w:sz w:val="16"/>
                <w:szCs w:val="16"/>
              </w:rPr>
            </w:pPr>
            <w:r w:rsidRPr="00517C8C">
              <w:rPr>
                <w:strike/>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3A89A169" w14:textId="77777777" w:rsidR="00377D51" w:rsidRPr="00517C8C" w:rsidRDefault="00377D51" w:rsidP="00744056">
            <w:pPr>
              <w:spacing w:before="40" w:after="40" w:line="245" w:lineRule="auto"/>
              <w:jc w:val="center"/>
              <w:rPr>
                <w:strike/>
                <w:sz w:val="16"/>
                <w:szCs w:val="16"/>
              </w:rPr>
            </w:pPr>
            <w:r w:rsidRPr="00517C8C">
              <w:rPr>
                <w:strike/>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01F95C"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FC80B72"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6C0A21" w14:textId="77777777" w:rsidR="00377D51" w:rsidRPr="00517C8C" w:rsidRDefault="00377D51" w:rsidP="00744056">
            <w:pPr>
              <w:spacing w:before="40" w:after="40" w:line="245" w:lineRule="auto"/>
              <w:jc w:val="center"/>
              <w:rPr>
                <w:strike/>
                <w:sz w:val="16"/>
                <w:szCs w:val="16"/>
              </w:rPr>
            </w:pPr>
            <w:r w:rsidRPr="00517C8C">
              <w:rPr>
                <w:strike/>
                <w:sz w:val="16"/>
                <w:szCs w:val="16"/>
              </w:rPr>
              <w:t>7 464</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3CD552E" w14:textId="77777777" w:rsidR="00377D51" w:rsidRPr="00517C8C" w:rsidRDefault="00377D51" w:rsidP="00744056">
            <w:pPr>
              <w:spacing w:before="40" w:after="40" w:line="245" w:lineRule="auto"/>
              <w:jc w:val="center"/>
              <w:rPr>
                <w:strike/>
                <w:sz w:val="16"/>
                <w:szCs w:val="16"/>
              </w:rPr>
            </w:pPr>
            <w:r w:rsidRPr="00517C8C">
              <w:rPr>
                <w:strike/>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7497A3C" w14:textId="77777777" w:rsidR="00377D51" w:rsidRPr="00517C8C" w:rsidRDefault="00377D51" w:rsidP="00744056">
            <w:pPr>
              <w:spacing w:before="40" w:after="40" w:line="245" w:lineRule="auto"/>
              <w:jc w:val="center"/>
              <w:rPr>
                <w:strike/>
                <w:sz w:val="16"/>
                <w:szCs w:val="16"/>
              </w:rPr>
            </w:pPr>
            <w:r w:rsidRPr="00517C8C">
              <w:rPr>
                <w:strike/>
                <w:sz w:val="16"/>
                <w:szCs w:val="16"/>
              </w:rPr>
              <w:t>ročne</w:t>
            </w:r>
          </w:p>
        </w:tc>
        <w:tc>
          <w:tcPr>
            <w:tcW w:w="5745" w:type="dxa"/>
            <w:vMerge w:val="restart"/>
          </w:tcPr>
          <w:p w14:paraId="58E3364C"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SO MK SR navrhuje O0224 </w:t>
            </w:r>
            <w:r w:rsidRPr="00FE6E61">
              <w:rPr>
                <w:b/>
                <w:sz w:val="16"/>
                <w:szCs w:val="16"/>
              </w:rPr>
              <w:t>zrušiť pre oba typy regiónov</w:t>
            </w:r>
            <w:r w:rsidRPr="00777A10">
              <w:rPr>
                <w:sz w:val="16"/>
                <w:szCs w:val="16"/>
              </w:rPr>
              <w:t xml:space="preserve"> – VRR+MRR.</w:t>
            </w:r>
          </w:p>
          <w:p w14:paraId="1FA6EE08" w14:textId="77777777" w:rsidR="00377D51" w:rsidRPr="00777A10" w:rsidRDefault="00377D51" w:rsidP="00744056">
            <w:pPr>
              <w:pStyle w:val="Textkomentra"/>
              <w:spacing w:before="40" w:after="40" w:line="245" w:lineRule="auto"/>
              <w:rPr>
                <w:sz w:val="16"/>
                <w:szCs w:val="16"/>
              </w:rPr>
            </w:pPr>
            <w:r w:rsidRPr="00777A10">
              <w:rPr>
                <w:sz w:val="16"/>
                <w:szCs w:val="16"/>
              </w:rPr>
              <w:t>O0224 je duplicitný k CO39.</w:t>
            </w:r>
          </w:p>
          <w:p w14:paraId="62067C60"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Pri nastavovaní MU programu bol daný priestor, aby sa do výziev zapojili aj mestá mimo územia udržateľného mestského rozvoja (UMR) a preto bol vytvorený nad rámec CO39 (ktorý monitoroval intervencie v rámci územia UMR) aj O0224, ktorý mal monitorovať intervencie za územia </w:t>
            </w:r>
            <w:proofErr w:type="spellStart"/>
            <w:r w:rsidRPr="00777A10">
              <w:rPr>
                <w:sz w:val="16"/>
                <w:szCs w:val="16"/>
              </w:rPr>
              <w:t>UMR+mimo</w:t>
            </w:r>
            <w:proofErr w:type="spellEnd"/>
            <w:r w:rsidRPr="00777A10">
              <w:rPr>
                <w:sz w:val="16"/>
                <w:szCs w:val="16"/>
              </w:rPr>
              <w:t xml:space="preserve"> UMR. </w:t>
            </w:r>
          </w:p>
          <w:p w14:paraId="2DDE560D" w14:textId="77777777" w:rsidR="00377D51" w:rsidRPr="00777A10" w:rsidRDefault="00377D51" w:rsidP="00744056">
            <w:pPr>
              <w:pStyle w:val="Textkomentra"/>
              <w:spacing w:before="40" w:after="40" w:line="245" w:lineRule="auto"/>
              <w:rPr>
                <w:sz w:val="16"/>
                <w:szCs w:val="16"/>
              </w:rPr>
            </w:pPr>
            <w:r w:rsidRPr="00777A10">
              <w:rPr>
                <w:sz w:val="16"/>
                <w:szCs w:val="16"/>
              </w:rPr>
              <w:t>Do implementácie sú však zapojené iba obce, ktoré sú z UMR a preto sa O0224 stal duplicitným k CO39 bez pridanej informačnej hodnoty. V rámci PO3 už nebudú realizované žiadne výzvy, ktoré by obsahovali ukazovatele agregujúce sa do O0224 a CO39 a teda je nulový predpoklad, že do konca roka 2023 by boli poskytované intervencie mestám mimo UMR a teda, že by hodnoty O0224 a CO39 boli v roku 2023 odlišné.</w:t>
            </w:r>
          </w:p>
          <w:p w14:paraId="45980F22" w14:textId="77777777" w:rsidR="00377D51" w:rsidRPr="00777A10" w:rsidRDefault="00377D51" w:rsidP="00744056">
            <w:pPr>
              <w:pStyle w:val="Textkomentra"/>
              <w:spacing w:before="40" w:after="40" w:line="245" w:lineRule="auto"/>
              <w:rPr>
                <w:sz w:val="16"/>
                <w:szCs w:val="16"/>
              </w:rPr>
            </w:pPr>
            <w:r w:rsidRPr="00837DC7">
              <w:rPr>
                <w:sz w:val="16"/>
                <w:szCs w:val="16"/>
              </w:rPr>
              <w:t xml:space="preserve">Na O0224 je naviazaný P0614, ktorý sa na projektovej úrovni bude vykazovať naďalej (nebude z projektov odstránený) iba bez </w:t>
            </w:r>
            <w:proofErr w:type="spellStart"/>
            <w:r w:rsidRPr="00837DC7">
              <w:rPr>
                <w:sz w:val="16"/>
                <w:szCs w:val="16"/>
              </w:rPr>
              <w:t>agregácie</w:t>
            </w:r>
            <w:proofErr w:type="spellEnd"/>
            <w:r w:rsidRPr="00837DC7">
              <w:rPr>
                <w:sz w:val="16"/>
                <w:szCs w:val="16"/>
              </w:rPr>
              <w:t xml:space="preserve"> na programovú úroveň do O0224. Na základe uvedeného navrhujeme O0224 zrušiť a vykazovať iba CO39, pričom bude odstránená * s poznámkou, že ide iba o územia UMR (nakoľko iné územie intervencie nepokrývajú). Uvedené platí tak pre VRR ako aj pre MRR.</w:t>
            </w:r>
          </w:p>
        </w:tc>
      </w:tr>
      <w:tr w:rsidR="00377D51" w:rsidRPr="00531545" w14:paraId="02B906FD"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2386345" w14:textId="77777777" w:rsidR="00377D51" w:rsidRPr="00517C8C" w:rsidRDefault="00377D51" w:rsidP="00744056">
            <w:pPr>
              <w:spacing w:before="40" w:after="40" w:line="245" w:lineRule="auto"/>
              <w:rPr>
                <w:strike/>
                <w:sz w:val="16"/>
                <w:szCs w:val="16"/>
              </w:rPr>
            </w:pPr>
            <w:r w:rsidRPr="00517C8C">
              <w:rPr>
                <w:bCs/>
                <w:strike/>
                <w:sz w:val="16"/>
                <w:szCs w:val="16"/>
              </w:rPr>
              <w:t>O0224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8450CEF" w14:textId="77777777" w:rsidR="00377D51" w:rsidRPr="00517C8C" w:rsidRDefault="00377D51" w:rsidP="00744056">
            <w:pPr>
              <w:spacing w:before="40" w:after="40" w:line="245" w:lineRule="auto"/>
              <w:rPr>
                <w:strike/>
                <w:sz w:val="16"/>
                <w:szCs w:val="16"/>
              </w:rPr>
            </w:pPr>
            <w:r w:rsidRPr="00517C8C">
              <w:rPr>
                <w:strike/>
                <w:sz w:val="16"/>
                <w:szCs w:val="16"/>
              </w:rPr>
              <w:t>Podlahová plocha renovovaných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C0DEF83" w14:textId="77777777" w:rsidR="00377D51" w:rsidRPr="00517C8C" w:rsidRDefault="00377D51" w:rsidP="00744056">
            <w:pPr>
              <w:spacing w:before="40" w:after="40" w:line="245" w:lineRule="auto"/>
              <w:jc w:val="center"/>
              <w:rPr>
                <w:strike/>
                <w:sz w:val="16"/>
                <w:szCs w:val="16"/>
              </w:rPr>
            </w:pPr>
            <w:r w:rsidRPr="00517C8C">
              <w:rPr>
                <w:strike/>
                <w:sz w:val="16"/>
                <w:szCs w:val="16"/>
              </w:rPr>
              <w:t>m</w:t>
            </w:r>
            <w:r w:rsidRPr="00517C8C">
              <w:rPr>
                <w:strike/>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AA4164" w14:textId="77777777" w:rsidR="00377D51" w:rsidRPr="00517C8C" w:rsidRDefault="00377D51" w:rsidP="00744056">
            <w:pPr>
              <w:spacing w:before="40" w:after="40" w:line="245" w:lineRule="auto"/>
              <w:jc w:val="center"/>
              <w:rPr>
                <w:strike/>
                <w:sz w:val="16"/>
                <w:szCs w:val="16"/>
              </w:rPr>
            </w:pPr>
            <w:r w:rsidRPr="00517C8C">
              <w:rPr>
                <w:strike/>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79B7A23" w14:textId="77777777" w:rsidR="00377D51" w:rsidRPr="00517C8C" w:rsidRDefault="00377D51" w:rsidP="00744056">
            <w:pPr>
              <w:spacing w:before="40" w:after="40" w:line="245" w:lineRule="auto"/>
              <w:jc w:val="center"/>
              <w:rPr>
                <w:strike/>
                <w:sz w:val="16"/>
                <w:szCs w:val="16"/>
              </w:rPr>
            </w:pPr>
            <w:r w:rsidRPr="00517C8C">
              <w:rPr>
                <w:strike/>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2A95E44"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6923077"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5A364C" w14:textId="77777777" w:rsidR="00377D51" w:rsidRPr="00517C8C" w:rsidRDefault="00377D51" w:rsidP="00744056">
            <w:pPr>
              <w:spacing w:before="40" w:after="40" w:line="245" w:lineRule="auto"/>
              <w:jc w:val="center"/>
              <w:rPr>
                <w:strike/>
                <w:sz w:val="16"/>
                <w:szCs w:val="16"/>
              </w:rPr>
            </w:pPr>
            <w:r w:rsidRPr="00517C8C">
              <w:rPr>
                <w:strike/>
                <w:sz w:val="16"/>
                <w:szCs w:val="16"/>
              </w:rPr>
              <w:t>1 876</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CE1DF32" w14:textId="77777777" w:rsidR="00377D51" w:rsidRPr="00517C8C" w:rsidRDefault="00377D51" w:rsidP="00744056">
            <w:pPr>
              <w:spacing w:before="40" w:after="40" w:line="245" w:lineRule="auto"/>
              <w:jc w:val="center"/>
              <w:rPr>
                <w:strike/>
                <w:sz w:val="16"/>
                <w:szCs w:val="16"/>
              </w:rPr>
            </w:pPr>
            <w:r w:rsidRPr="00517C8C">
              <w:rPr>
                <w:strike/>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03C55FB" w14:textId="77777777" w:rsidR="00377D51" w:rsidRPr="00517C8C" w:rsidRDefault="00377D51" w:rsidP="00744056">
            <w:pPr>
              <w:spacing w:before="40" w:after="40" w:line="245" w:lineRule="auto"/>
              <w:jc w:val="center"/>
              <w:rPr>
                <w:strike/>
                <w:sz w:val="16"/>
                <w:szCs w:val="16"/>
              </w:rPr>
            </w:pPr>
            <w:r w:rsidRPr="00517C8C">
              <w:rPr>
                <w:strike/>
                <w:sz w:val="16"/>
                <w:szCs w:val="16"/>
              </w:rPr>
              <w:t>ročne</w:t>
            </w:r>
          </w:p>
        </w:tc>
        <w:tc>
          <w:tcPr>
            <w:tcW w:w="5745" w:type="dxa"/>
            <w:vMerge/>
          </w:tcPr>
          <w:p w14:paraId="05BB6FB4" w14:textId="77777777" w:rsidR="00377D51" w:rsidRPr="00777A10" w:rsidRDefault="00377D51" w:rsidP="00744056">
            <w:pPr>
              <w:spacing w:before="40" w:after="40" w:line="245" w:lineRule="auto"/>
              <w:jc w:val="both"/>
              <w:rPr>
                <w:sz w:val="16"/>
                <w:szCs w:val="16"/>
              </w:rPr>
            </w:pPr>
          </w:p>
        </w:tc>
      </w:tr>
      <w:tr w:rsidR="00377D51" w:rsidRPr="00531545" w14:paraId="3DB681AB"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F4DCD0A" w14:textId="77777777" w:rsidR="00377D51" w:rsidRPr="00777A10" w:rsidRDefault="00377D51" w:rsidP="00744056">
            <w:pPr>
              <w:spacing w:before="40" w:after="40" w:line="245" w:lineRule="auto"/>
              <w:rPr>
                <w:sz w:val="16"/>
                <w:szCs w:val="16"/>
              </w:rPr>
            </w:pPr>
            <w:r w:rsidRPr="004E6D0E">
              <w:rPr>
                <w:bCs/>
                <w:sz w:val="16"/>
                <w:szCs w:val="16"/>
              </w:rPr>
              <w:t>C</w:t>
            </w:r>
            <w:r>
              <w:rPr>
                <w:bCs/>
                <w:sz w:val="16"/>
                <w:szCs w:val="16"/>
              </w:rPr>
              <w:t>O</w:t>
            </w:r>
            <w:r w:rsidRPr="004E6D0E">
              <w:rPr>
                <w:bCs/>
                <w:sz w:val="16"/>
                <w:szCs w:val="16"/>
              </w:rPr>
              <w:t>034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6BFA3CB" w14:textId="77777777" w:rsidR="00377D51" w:rsidRPr="00777A10" w:rsidRDefault="00377D51" w:rsidP="00744056">
            <w:pPr>
              <w:spacing w:before="40" w:after="40" w:line="245" w:lineRule="auto"/>
              <w:rPr>
                <w:sz w:val="16"/>
                <w:szCs w:val="16"/>
              </w:rPr>
            </w:pPr>
            <w:r w:rsidRPr="004E6D0E">
              <w:rPr>
                <w:sz w:val="16"/>
                <w:szCs w:val="16"/>
              </w:rPr>
              <w:t>Odhadované ročné zníženie emisií skleníkových plynov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FB8533" w14:textId="77777777" w:rsidR="00377D51" w:rsidRPr="00777A10" w:rsidRDefault="00377D51" w:rsidP="00744056">
            <w:pPr>
              <w:spacing w:before="40" w:after="40" w:line="245" w:lineRule="auto"/>
              <w:jc w:val="center"/>
              <w:rPr>
                <w:sz w:val="16"/>
                <w:szCs w:val="16"/>
              </w:rPr>
            </w:pPr>
            <w:r w:rsidRPr="004E6D0E">
              <w:rPr>
                <w:sz w:val="16"/>
                <w:szCs w:val="16"/>
              </w:rPr>
              <w:t xml:space="preserve">t </w:t>
            </w:r>
            <w:proofErr w:type="spellStart"/>
            <w:r w:rsidRPr="004E6D0E">
              <w:rPr>
                <w:sz w:val="16"/>
                <w:szCs w:val="16"/>
              </w:rPr>
              <w:t>ekviv</w:t>
            </w:r>
            <w:proofErr w:type="spellEnd"/>
            <w:r w:rsidRPr="004E6D0E">
              <w:rPr>
                <w:sz w:val="16"/>
                <w:szCs w:val="16"/>
              </w:rPr>
              <w:t>. CO</w:t>
            </w:r>
            <w:r w:rsidRPr="004E6D0E">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C31E94A" w14:textId="77777777" w:rsidR="00377D51" w:rsidRPr="00777A10"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CFAE27" w14:textId="77777777" w:rsidR="00377D51" w:rsidRPr="00777A10" w:rsidRDefault="00377D51" w:rsidP="00744056">
            <w:pPr>
              <w:spacing w:before="40" w:after="40" w:line="245" w:lineRule="auto"/>
              <w:jc w:val="center"/>
              <w:rPr>
                <w:sz w:val="16"/>
                <w:szCs w:val="16"/>
              </w:rPr>
            </w:pPr>
            <w:r w:rsidRPr="004E6D0E">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58C1CB" w14:textId="77777777" w:rsidR="00377D51" w:rsidRPr="00777A10"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30F685A" w14:textId="77777777" w:rsidR="00377D51" w:rsidRPr="00777A10"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233C34" w14:textId="77777777" w:rsidR="00377D51" w:rsidRPr="00777A10" w:rsidRDefault="00377D51" w:rsidP="00744056">
            <w:pPr>
              <w:spacing w:before="40" w:after="40" w:line="245" w:lineRule="auto"/>
              <w:jc w:val="center"/>
              <w:rPr>
                <w:sz w:val="16"/>
                <w:szCs w:val="16"/>
              </w:rPr>
            </w:pPr>
            <w:r>
              <w:rPr>
                <w:sz w:val="16"/>
                <w:szCs w:val="16"/>
              </w:rPr>
              <w:t>202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C98C3B" w14:textId="77777777" w:rsidR="00377D51" w:rsidRPr="00777A10"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2157825" w14:textId="77777777" w:rsidR="00377D51" w:rsidRPr="00777A10" w:rsidRDefault="00377D51" w:rsidP="00744056">
            <w:pPr>
              <w:spacing w:before="40" w:after="40" w:line="245" w:lineRule="auto"/>
              <w:jc w:val="center"/>
              <w:rPr>
                <w:sz w:val="16"/>
                <w:szCs w:val="16"/>
              </w:rPr>
            </w:pPr>
            <w:r w:rsidRPr="004E6D0E">
              <w:rPr>
                <w:sz w:val="16"/>
                <w:szCs w:val="16"/>
              </w:rPr>
              <w:t>ročne</w:t>
            </w:r>
          </w:p>
        </w:tc>
        <w:tc>
          <w:tcPr>
            <w:tcW w:w="5745" w:type="dxa"/>
          </w:tcPr>
          <w:p w14:paraId="5CAEEC92"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Hodnota CO34 bola nastavená ako indikatívna s tým, že nie je možné vopred </w:t>
            </w:r>
            <w:proofErr w:type="spellStart"/>
            <w:r w:rsidRPr="00777A10">
              <w:rPr>
                <w:sz w:val="16"/>
                <w:szCs w:val="16"/>
              </w:rPr>
              <w:t>predikovať</w:t>
            </w:r>
            <w:proofErr w:type="spellEnd"/>
            <w:r w:rsidRPr="00777A10">
              <w:rPr>
                <w:sz w:val="16"/>
                <w:szCs w:val="16"/>
              </w:rPr>
              <w:t>, aké typy projektov sa budú realizovať, t.</w:t>
            </w:r>
            <w:r>
              <w:rPr>
                <w:sz w:val="16"/>
                <w:szCs w:val="16"/>
              </w:rPr>
              <w:t xml:space="preserve"> </w:t>
            </w:r>
            <w:r w:rsidRPr="00777A10">
              <w:rPr>
                <w:sz w:val="16"/>
                <w:szCs w:val="16"/>
              </w:rPr>
              <w:t xml:space="preserve">j. či budú zamerané aj na ročné znižovanie emisií skleníkových plynov. Z charakteru intervencií a typu aktivít totiž </w:t>
            </w:r>
            <w:proofErr w:type="spellStart"/>
            <w:r w:rsidRPr="00777A10">
              <w:rPr>
                <w:sz w:val="16"/>
                <w:szCs w:val="16"/>
              </w:rPr>
              <w:t>defaultne</w:t>
            </w:r>
            <w:proofErr w:type="spellEnd"/>
            <w:r w:rsidRPr="00777A10">
              <w:rPr>
                <w:sz w:val="16"/>
                <w:szCs w:val="16"/>
              </w:rPr>
              <w:t xml:space="preserve"> nevyplýva, že všetky projekty musia byť zamerané na emisnú rekonštrukciu. </w:t>
            </w:r>
            <w:r w:rsidRPr="004732D1">
              <w:rPr>
                <w:sz w:val="16"/>
                <w:szCs w:val="16"/>
              </w:rPr>
              <w:t>Napriek tomu, že ide o indikatívnu hodnotu, SO MK SR navrhuje zníženie hodnoty na základe identifikácie dopytu po danej intervencií.</w:t>
            </w:r>
            <w:r>
              <w:rPr>
                <w:sz w:val="16"/>
                <w:szCs w:val="16"/>
              </w:rPr>
              <w:t xml:space="preserve"> </w:t>
            </w:r>
          </w:p>
        </w:tc>
      </w:tr>
      <w:tr w:rsidR="00377D51" w:rsidRPr="00531545" w14:paraId="5ABEA24D"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9954CA" w14:textId="77777777" w:rsidR="00377D51" w:rsidRPr="00517C8C" w:rsidRDefault="00377D51" w:rsidP="00744056">
            <w:pPr>
              <w:spacing w:before="40" w:after="40" w:line="245" w:lineRule="auto"/>
              <w:rPr>
                <w:strike/>
                <w:sz w:val="16"/>
                <w:szCs w:val="16"/>
              </w:rPr>
            </w:pPr>
            <w:r w:rsidRPr="00517C8C">
              <w:rPr>
                <w:bCs/>
                <w:strike/>
                <w:sz w:val="16"/>
                <w:szCs w:val="16"/>
              </w:rPr>
              <w:t>C0034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E5690CB" w14:textId="77777777" w:rsidR="00377D51" w:rsidRPr="00517C8C" w:rsidRDefault="00377D51" w:rsidP="00744056">
            <w:pPr>
              <w:spacing w:before="40" w:after="40" w:line="245" w:lineRule="auto"/>
              <w:rPr>
                <w:strike/>
                <w:sz w:val="16"/>
                <w:szCs w:val="16"/>
              </w:rPr>
            </w:pPr>
            <w:r w:rsidRPr="00517C8C">
              <w:rPr>
                <w:strike/>
                <w:sz w:val="16"/>
                <w:szCs w:val="16"/>
              </w:rPr>
              <w:t>Odhadované ročné zníženie emisií skleníkových plynov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FD7331" w14:textId="77777777" w:rsidR="00377D51" w:rsidRPr="00517C8C" w:rsidRDefault="00377D51" w:rsidP="00744056">
            <w:pPr>
              <w:spacing w:before="40" w:after="40" w:line="245" w:lineRule="auto"/>
              <w:jc w:val="center"/>
              <w:rPr>
                <w:strike/>
                <w:sz w:val="16"/>
                <w:szCs w:val="16"/>
              </w:rPr>
            </w:pPr>
            <w:r w:rsidRPr="00517C8C">
              <w:rPr>
                <w:strike/>
                <w:sz w:val="16"/>
                <w:szCs w:val="16"/>
              </w:rPr>
              <w:t xml:space="preserve">t </w:t>
            </w:r>
            <w:proofErr w:type="spellStart"/>
            <w:r w:rsidRPr="00517C8C">
              <w:rPr>
                <w:strike/>
                <w:sz w:val="16"/>
                <w:szCs w:val="16"/>
              </w:rPr>
              <w:t>ekviv</w:t>
            </w:r>
            <w:proofErr w:type="spellEnd"/>
            <w:r w:rsidRPr="00517C8C">
              <w:rPr>
                <w:strike/>
                <w:sz w:val="16"/>
                <w:szCs w:val="16"/>
              </w:rPr>
              <w:t>. CO</w:t>
            </w:r>
            <w:r w:rsidRPr="00517C8C">
              <w:rPr>
                <w:strike/>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B390887" w14:textId="77777777" w:rsidR="00377D51" w:rsidRPr="00517C8C" w:rsidRDefault="00377D51" w:rsidP="00744056">
            <w:pPr>
              <w:spacing w:before="40" w:after="40" w:line="245" w:lineRule="auto"/>
              <w:jc w:val="center"/>
              <w:rPr>
                <w:strike/>
                <w:sz w:val="16"/>
                <w:szCs w:val="16"/>
              </w:rPr>
            </w:pPr>
            <w:r w:rsidRPr="00517C8C">
              <w:rPr>
                <w:strike/>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608E1E9" w14:textId="77777777" w:rsidR="00377D51" w:rsidRPr="00517C8C" w:rsidRDefault="00377D51" w:rsidP="00744056">
            <w:pPr>
              <w:spacing w:before="40" w:after="40" w:line="245" w:lineRule="auto"/>
              <w:jc w:val="center"/>
              <w:rPr>
                <w:strike/>
                <w:sz w:val="16"/>
                <w:szCs w:val="16"/>
              </w:rPr>
            </w:pPr>
            <w:r w:rsidRPr="00517C8C">
              <w:rPr>
                <w:strike/>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DCF6A55"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92F0BAE" w14:textId="77777777" w:rsidR="00377D51" w:rsidRPr="00517C8C" w:rsidRDefault="00377D51" w:rsidP="00744056">
            <w:pPr>
              <w:spacing w:before="40" w:after="40" w:line="245" w:lineRule="auto"/>
              <w:jc w:val="center"/>
              <w:rPr>
                <w:strike/>
                <w:sz w:val="16"/>
                <w:szCs w:val="16"/>
              </w:rPr>
            </w:pPr>
            <w:r w:rsidRPr="00517C8C">
              <w:rPr>
                <w:strike/>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CDFF304" w14:textId="77777777" w:rsidR="00377D51" w:rsidRPr="00517C8C" w:rsidRDefault="00377D51" w:rsidP="00744056">
            <w:pPr>
              <w:spacing w:before="40" w:after="40" w:line="245" w:lineRule="auto"/>
              <w:jc w:val="center"/>
              <w:rPr>
                <w:strike/>
                <w:sz w:val="16"/>
                <w:szCs w:val="16"/>
              </w:rPr>
            </w:pPr>
            <w:r w:rsidRPr="00517C8C">
              <w:rPr>
                <w:strike/>
                <w:sz w:val="16"/>
                <w:szCs w:val="16"/>
              </w:rPr>
              <w:t>698</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67AD45E" w14:textId="77777777" w:rsidR="00377D51" w:rsidRPr="00517C8C" w:rsidRDefault="00377D51" w:rsidP="00744056">
            <w:pPr>
              <w:spacing w:before="40" w:after="40" w:line="245" w:lineRule="auto"/>
              <w:jc w:val="center"/>
              <w:rPr>
                <w:strike/>
                <w:sz w:val="16"/>
                <w:szCs w:val="16"/>
              </w:rPr>
            </w:pPr>
            <w:r w:rsidRPr="00517C8C">
              <w:rPr>
                <w:strike/>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31F3FD" w14:textId="77777777" w:rsidR="00377D51" w:rsidRPr="00517C8C" w:rsidRDefault="00377D51" w:rsidP="00744056">
            <w:pPr>
              <w:spacing w:before="40" w:after="40" w:line="245" w:lineRule="auto"/>
              <w:jc w:val="center"/>
              <w:rPr>
                <w:strike/>
                <w:sz w:val="16"/>
                <w:szCs w:val="16"/>
              </w:rPr>
            </w:pPr>
            <w:r w:rsidRPr="00517C8C">
              <w:rPr>
                <w:strike/>
                <w:sz w:val="16"/>
                <w:szCs w:val="16"/>
              </w:rPr>
              <w:t>ročne</w:t>
            </w:r>
          </w:p>
        </w:tc>
        <w:tc>
          <w:tcPr>
            <w:tcW w:w="5745" w:type="dxa"/>
          </w:tcPr>
          <w:p w14:paraId="146A0296" w14:textId="77777777" w:rsidR="00377D51" w:rsidRDefault="00377D51" w:rsidP="00744056">
            <w:pPr>
              <w:pStyle w:val="Textkomentra"/>
              <w:spacing w:before="40" w:after="40" w:line="245" w:lineRule="auto"/>
              <w:rPr>
                <w:sz w:val="16"/>
                <w:szCs w:val="16"/>
              </w:rPr>
            </w:pPr>
            <w:r w:rsidRPr="00777A10">
              <w:rPr>
                <w:sz w:val="16"/>
                <w:szCs w:val="16"/>
              </w:rPr>
              <w:t xml:space="preserve">SO MK SR navrhuje CO34 </w:t>
            </w:r>
            <w:r>
              <w:rPr>
                <w:b/>
                <w:sz w:val="16"/>
                <w:szCs w:val="16"/>
              </w:rPr>
              <w:t xml:space="preserve">odradiť od PO3 </w:t>
            </w:r>
            <w:r w:rsidRPr="00777A10">
              <w:rPr>
                <w:sz w:val="16"/>
                <w:szCs w:val="16"/>
              </w:rPr>
              <w:t>pre VRR.</w:t>
            </w:r>
          </w:p>
          <w:p w14:paraId="41F1E785"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Hodnota CO3 sa vo VRR nebude plniť a ku koncu roka 2023 bude nulová. Je to z dôvodu, že do výziev sa nezapojili subjekty, ktoré by realizovali také aktivity, ktorými by došlo k ročnému znižovaniu emisií skleníkových plynov. </w:t>
            </w:r>
          </w:p>
          <w:p w14:paraId="784BA78A"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Napriek tomu, že cieľové hodnoty MU sú len indikatívne, </w:t>
            </w:r>
            <w:proofErr w:type="spellStart"/>
            <w:r w:rsidRPr="00777A10">
              <w:rPr>
                <w:sz w:val="16"/>
                <w:szCs w:val="16"/>
              </w:rPr>
              <w:t>t.j</w:t>
            </w:r>
            <w:proofErr w:type="spellEnd"/>
            <w:r w:rsidRPr="00777A10">
              <w:rPr>
                <w:sz w:val="16"/>
                <w:szCs w:val="16"/>
              </w:rPr>
              <w:t>. je možné ich do konca roka 2023 neplniť, považuje SO MK SR za zbytočné, vykazovať medzi v rámci PO3 také MU, ktorých plnenie v roku 2023 bude nulové.</w:t>
            </w:r>
          </w:p>
          <w:p w14:paraId="09674B41"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Na základe uvedeného navrhujeme </w:t>
            </w:r>
            <w:r>
              <w:rPr>
                <w:sz w:val="16"/>
                <w:szCs w:val="16"/>
              </w:rPr>
              <w:t>odradiť</w:t>
            </w:r>
            <w:r w:rsidRPr="00777A10">
              <w:rPr>
                <w:sz w:val="16"/>
                <w:szCs w:val="16"/>
              </w:rPr>
              <w:t xml:space="preserve"> CO034 </w:t>
            </w:r>
            <w:r>
              <w:rPr>
                <w:sz w:val="16"/>
                <w:szCs w:val="16"/>
              </w:rPr>
              <w:t xml:space="preserve">pre PO3 </w:t>
            </w:r>
            <w:r w:rsidRPr="00777A10">
              <w:rPr>
                <w:sz w:val="16"/>
                <w:szCs w:val="16"/>
              </w:rPr>
              <w:t xml:space="preserve">pre VRR. </w:t>
            </w:r>
          </w:p>
        </w:tc>
      </w:tr>
      <w:tr w:rsidR="00377D51" w:rsidRPr="00531545" w14:paraId="0B693263"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E654BD2" w14:textId="77777777" w:rsidR="00377D51" w:rsidRPr="00777A10" w:rsidRDefault="00377D51" w:rsidP="00744056">
            <w:pPr>
              <w:spacing w:before="40" w:after="40" w:line="245" w:lineRule="auto"/>
              <w:rPr>
                <w:sz w:val="16"/>
                <w:szCs w:val="16"/>
              </w:rPr>
            </w:pPr>
            <w:r w:rsidRPr="004E6D0E">
              <w:rPr>
                <w:bCs/>
                <w:sz w:val="16"/>
                <w:szCs w:val="16"/>
              </w:rPr>
              <w:t>C</w:t>
            </w:r>
            <w:r>
              <w:rPr>
                <w:bCs/>
                <w:sz w:val="16"/>
                <w:szCs w:val="16"/>
              </w:rPr>
              <w:t>O</w:t>
            </w:r>
            <w:r w:rsidRPr="004E6D0E">
              <w:rPr>
                <w:bCs/>
                <w:sz w:val="16"/>
                <w:szCs w:val="16"/>
              </w:rPr>
              <w:t>039</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1AAE0C" w14:textId="77777777" w:rsidR="00377D51" w:rsidRPr="00777A10" w:rsidRDefault="00377D51" w:rsidP="00744056">
            <w:pPr>
              <w:spacing w:before="40" w:after="40" w:line="245" w:lineRule="auto"/>
              <w:rPr>
                <w:sz w:val="16"/>
                <w:szCs w:val="16"/>
              </w:rPr>
            </w:pPr>
            <w:r w:rsidRPr="004E6D0E">
              <w:rPr>
                <w:sz w:val="16"/>
                <w:szCs w:val="16"/>
              </w:rPr>
              <w:t>Mestský rozvoj: Postavené alebo zrenovované verejné alebo komerčné budovy v mestských oblastiach</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93FEBD" w14:textId="77777777" w:rsidR="00377D51" w:rsidRPr="00777A10" w:rsidRDefault="00377D51" w:rsidP="00744056">
            <w:pPr>
              <w:spacing w:before="40" w:after="40" w:line="245" w:lineRule="auto"/>
              <w:jc w:val="center"/>
              <w:rPr>
                <w:sz w:val="16"/>
                <w:szCs w:val="16"/>
              </w:rPr>
            </w:pPr>
            <w:r w:rsidRPr="004E6D0E">
              <w:rPr>
                <w:sz w:val="16"/>
                <w:szCs w:val="16"/>
              </w:rPr>
              <w:t>m</w:t>
            </w:r>
            <w:r w:rsidRPr="004E6D0E">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A08694" w14:textId="77777777" w:rsidR="00377D51" w:rsidRPr="00777A10" w:rsidRDefault="00377D51" w:rsidP="00744056">
            <w:pPr>
              <w:spacing w:before="40" w:after="40" w:line="245" w:lineRule="auto"/>
              <w:jc w:val="center"/>
              <w:rPr>
                <w:sz w:val="16"/>
                <w:szCs w:val="16"/>
              </w:rPr>
            </w:pPr>
            <w:r w:rsidRPr="004E6D0E">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657C796" w14:textId="77777777" w:rsidR="00377D51" w:rsidRPr="00777A10" w:rsidRDefault="00377D51" w:rsidP="00744056">
            <w:pPr>
              <w:spacing w:before="40" w:after="40" w:line="245" w:lineRule="auto"/>
              <w:jc w:val="center"/>
              <w:rPr>
                <w:sz w:val="16"/>
                <w:szCs w:val="16"/>
              </w:rPr>
            </w:pPr>
            <w:r w:rsidRPr="004E6D0E">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090ADF1" w14:textId="77777777" w:rsidR="00377D51" w:rsidRPr="00777A10" w:rsidRDefault="00377D51" w:rsidP="00744056">
            <w:pPr>
              <w:spacing w:before="40" w:after="40" w:line="245" w:lineRule="auto"/>
              <w:jc w:val="center"/>
              <w:rPr>
                <w:sz w:val="16"/>
                <w:szCs w:val="16"/>
              </w:rPr>
            </w:pPr>
            <w:r w:rsidRPr="004E6D0E">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96DD855" w14:textId="77777777" w:rsidR="00377D51" w:rsidRPr="00777A10" w:rsidRDefault="00377D51" w:rsidP="00744056">
            <w:pPr>
              <w:spacing w:before="40" w:after="40" w:line="245" w:lineRule="auto"/>
              <w:jc w:val="center"/>
              <w:rPr>
                <w:sz w:val="16"/>
                <w:szCs w:val="16"/>
              </w:rPr>
            </w:pPr>
            <w:r w:rsidRPr="004E6D0E">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611104A" w14:textId="77777777" w:rsidR="00377D51" w:rsidRPr="00777A10" w:rsidRDefault="00377D51" w:rsidP="00744056">
            <w:pPr>
              <w:spacing w:before="40" w:after="40" w:line="245" w:lineRule="auto"/>
              <w:jc w:val="center"/>
              <w:rPr>
                <w:sz w:val="16"/>
                <w:szCs w:val="16"/>
              </w:rPr>
            </w:pPr>
            <w:r>
              <w:rPr>
                <w:sz w:val="16"/>
                <w:szCs w:val="16"/>
              </w:rPr>
              <w:t>1 702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AAD7CD" w14:textId="77777777" w:rsidR="00377D51" w:rsidRPr="00777A10" w:rsidRDefault="00377D51" w:rsidP="00744056">
            <w:pPr>
              <w:spacing w:before="40" w:after="40" w:line="245" w:lineRule="auto"/>
              <w:jc w:val="center"/>
              <w:rPr>
                <w:sz w:val="16"/>
                <w:szCs w:val="16"/>
              </w:rPr>
            </w:pPr>
            <w:r w:rsidRPr="004E6D0E">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025A30C" w14:textId="77777777" w:rsidR="00377D51" w:rsidRPr="00777A10" w:rsidRDefault="00377D51" w:rsidP="00744056">
            <w:pPr>
              <w:spacing w:before="40" w:after="40" w:line="245" w:lineRule="auto"/>
              <w:jc w:val="center"/>
              <w:rPr>
                <w:sz w:val="16"/>
                <w:szCs w:val="16"/>
              </w:rPr>
            </w:pPr>
            <w:r w:rsidRPr="004E6D0E">
              <w:rPr>
                <w:sz w:val="16"/>
                <w:szCs w:val="16"/>
              </w:rPr>
              <w:t>ročne</w:t>
            </w:r>
          </w:p>
        </w:tc>
        <w:tc>
          <w:tcPr>
            <w:tcW w:w="5745" w:type="dxa"/>
          </w:tcPr>
          <w:p w14:paraId="2EECD974" w14:textId="77777777" w:rsidR="00377D51" w:rsidRDefault="00377D51" w:rsidP="00744056">
            <w:pPr>
              <w:pStyle w:val="Textkomentra"/>
              <w:spacing w:before="40" w:after="40" w:line="245" w:lineRule="auto"/>
              <w:rPr>
                <w:sz w:val="16"/>
                <w:szCs w:val="16"/>
              </w:rPr>
            </w:pPr>
            <w:r w:rsidRPr="00777A10">
              <w:rPr>
                <w:sz w:val="16"/>
                <w:szCs w:val="16"/>
              </w:rPr>
              <w:t xml:space="preserve">Vo VRR dochádza k zníženiu alokácie o 57,24%. Pri úmernom znížení cieľovej hodnoty o 57,24% by bola cieľová hodnota cca „728“, čo je hodnota nižšia ako je aktuálne </w:t>
            </w:r>
            <w:proofErr w:type="spellStart"/>
            <w:r w:rsidRPr="00777A10">
              <w:rPr>
                <w:sz w:val="16"/>
                <w:szCs w:val="16"/>
              </w:rPr>
              <w:t>zazmluvnená</w:t>
            </w:r>
            <w:proofErr w:type="spellEnd"/>
            <w:r w:rsidRPr="00777A10">
              <w:rPr>
                <w:sz w:val="16"/>
                <w:szCs w:val="16"/>
              </w:rPr>
              <w:t xml:space="preserve"> hodnota „1 702“. </w:t>
            </w:r>
          </w:p>
          <w:p w14:paraId="4F5F05AA" w14:textId="77777777" w:rsidR="00377D51" w:rsidRPr="00777A10" w:rsidRDefault="00377D51" w:rsidP="00744056">
            <w:pPr>
              <w:pStyle w:val="Textkomentra"/>
              <w:spacing w:before="40" w:after="40" w:line="245" w:lineRule="auto"/>
              <w:rPr>
                <w:sz w:val="16"/>
                <w:szCs w:val="16"/>
              </w:rPr>
            </w:pPr>
            <w:r w:rsidRPr="00777A10">
              <w:rPr>
                <w:sz w:val="16"/>
                <w:szCs w:val="16"/>
              </w:rPr>
              <w:t xml:space="preserve">Preto navrhujeme upraviť cieľovú hodnotu na „1 702“. </w:t>
            </w:r>
          </w:p>
        </w:tc>
      </w:tr>
    </w:tbl>
    <w:p w14:paraId="5DBEBB75" w14:textId="77777777" w:rsidR="00377D51" w:rsidRDefault="00377D51" w:rsidP="00377D51">
      <w:pPr>
        <w:rPr>
          <w:rFonts w:ascii="Arial Narrow" w:hAnsi="Arial Narrow"/>
          <w:color w:val="000000"/>
        </w:rPr>
      </w:pPr>
      <w:r>
        <w:rPr>
          <w:rFonts w:ascii="Arial Narrow" w:hAnsi="Arial Narrow"/>
          <w:color w:val="000000"/>
        </w:rPr>
        <w:br w:type="page"/>
      </w:r>
    </w:p>
    <w:p w14:paraId="792A59E2" w14:textId="77777777" w:rsidR="00377D51" w:rsidRPr="00E60D12" w:rsidRDefault="00377D51" w:rsidP="00377D51">
      <w:pPr>
        <w:spacing w:before="80" w:after="80" w:line="245" w:lineRule="auto"/>
        <w:jc w:val="both"/>
        <w:rPr>
          <w:rFonts w:ascii="Arial Narrow" w:hAnsi="Arial Narrow"/>
          <w:color w:val="000000"/>
        </w:rPr>
      </w:pPr>
    </w:p>
    <w:p w14:paraId="68C71FE5" w14:textId="77777777" w:rsidR="00377D51" w:rsidRPr="00531545" w:rsidRDefault="00377D51" w:rsidP="00377D51">
      <w:pPr>
        <w:spacing w:before="80" w:after="80" w:line="245" w:lineRule="auto"/>
        <w:jc w:val="both"/>
        <w:rPr>
          <w:rFonts w:ascii="Arial Narrow" w:hAnsi="Arial Narrow"/>
          <w:color w:val="000000"/>
        </w:rPr>
      </w:pPr>
      <w:r w:rsidRPr="00531545">
        <w:rPr>
          <w:rFonts w:ascii="Arial Narrow" w:hAnsi="Arial Narrow"/>
          <w:color w:val="000000"/>
        </w:rPr>
        <w:t>Špecifický cieľ 4.1.: Zvýšenie energetickej efektívnosti bytových domov</w:t>
      </w:r>
    </w:p>
    <w:p w14:paraId="3A1F8A81" w14:textId="77777777" w:rsidR="00377D51" w:rsidRPr="00531545" w:rsidRDefault="00377D51" w:rsidP="00377D51">
      <w:pPr>
        <w:spacing w:before="80" w:after="80" w:line="245" w:lineRule="auto"/>
        <w:jc w:val="both"/>
        <w:rPr>
          <w:rFonts w:ascii="Arial Narrow" w:hAnsi="Arial Narrow"/>
          <w:color w:val="000000"/>
        </w:rPr>
      </w:pPr>
    </w:p>
    <w:tbl>
      <w:tblPr>
        <w:tblW w:w="15111" w:type="dxa"/>
        <w:tblInd w:w="-15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99"/>
        <w:gridCol w:w="1559"/>
        <w:gridCol w:w="851"/>
        <w:gridCol w:w="709"/>
        <w:gridCol w:w="1134"/>
        <w:gridCol w:w="567"/>
        <w:gridCol w:w="567"/>
        <w:gridCol w:w="1144"/>
        <w:gridCol w:w="1144"/>
        <w:gridCol w:w="992"/>
        <w:gridCol w:w="5745"/>
      </w:tblGrid>
      <w:tr w:rsidR="00377D51" w:rsidRPr="00531545" w14:paraId="0E57655D" w14:textId="77777777" w:rsidTr="00744056">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6711496F" w14:textId="77777777" w:rsidR="00377D51" w:rsidRPr="00531545" w:rsidRDefault="00377D51" w:rsidP="00744056">
            <w:pPr>
              <w:jc w:val="center"/>
              <w:rPr>
                <w:b/>
                <w:bCs/>
                <w:sz w:val="16"/>
                <w:szCs w:val="16"/>
              </w:rPr>
            </w:pPr>
            <w:r w:rsidRPr="00531545">
              <w:rPr>
                <w:b/>
                <w:bCs/>
                <w:sz w:val="16"/>
                <w:szCs w:val="16"/>
              </w:rPr>
              <w:t>ID</w:t>
            </w:r>
          </w:p>
        </w:tc>
        <w:tc>
          <w:tcPr>
            <w:tcW w:w="1559" w:type="dxa"/>
            <w:vMerge w:val="restart"/>
            <w:tcBorders>
              <w:top w:val="single" w:sz="8" w:space="0" w:color="4E67C8"/>
              <w:left w:val="single" w:sz="8" w:space="0" w:color="4E67C8"/>
              <w:right w:val="single" w:sz="8" w:space="0" w:color="4E67C8"/>
            </w:tcBorders>
            <w:shd w:val="clear" w:color="auto" w:fill="auto"/>
            <w:vAlign w:val="center"/>
          </w:tcPr>
          <w:p w14:paraId="1D3B079C" w14:textId="77777777" w:rsidR="00377D51" w:rsidRPr="00531545" w:rsidRDefault="00377D51" w:rsidP="00744056">
            <w:pPr>
              <w:jc w:val="center"/>
              <w:rPr>
                <w:b/>
                <w:bCs/>
                <w:sz w:val="16"/>
                <w:szCs w:val="16"/>
              </w:rPr>
            </w:pPr>
            <w:r w:rsidRPr="00531545">
              <w:rPr>
                <w:b/>
                <w:bCs/>
                <w:sz w:val="16"/>
                <w:szCs w:val="16"/>
              </w:rPr>
              <w:t>Ukazovateľ</w:t>
            </w:r>
          </w:p>
        </w:tc>
        <w:tc>
          <w:tcPr>
            <w:tcW w:w="851" w:type="dxa"/>
            <w:vMerge w:val="restart"/>
            <w:tcBorders>
              <w:top w:val="single" w:sz="8" w:space="0" w:color="4E67C8"/>
              <w:left w:val="single" w:sz="8" w:space="0" w:color="4E67C8"/>
              <w:right w:val="single" w:sz="8" w:space="0" w:color="4E67C8"/>
            </w:tcBorders>
            <w:shd w:val="clear" w:color="auto" w:fill="auto"/>
            <w:vAlign w:val="center"/>
          </w:tcPr>
          <w:p w14:paraId="7C9FAECE" w14:textId="77777777" w:rsidR="00377D51" w:rsidRPr="00531545" w:rsidRDefault="00377D51" w:rsidP="00744056">
            <w:pPr>
              <w:jc w:val="center"/>
              <w:rPr>
                <w:b/>
                <w:bCs/>
                <w:sz w:val="16"/>
                <w:szCs w:val="16"/>
              </w:rPr>
            </w:pPr>
            <w:r w:rsidRPr="00531545">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15020B73" w14:textId="77777777" w:rsidR="00377D51" w:rsidRPr="00531545" w:rsidRDefault="00377D51" w:rsidP="00744056">
            <w:pPr>
              <w:jc w:val="center"/>
              <w:rPr>
                <w:b/>
                <w:bCs/>
                <w:sz w:val="16"/>
                <w:szCs w:val="16"/>
              </w:rPr>
            </w:pPr>
            <w:r w:rsidRPr="00531545">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0A7E02F0" w14:textId="77777777" w:rsidR="00377D51" w:rsidRPr="00531545" w:rsidRDefault="00377D51" w:rsidP="00744056">
            <w:pPr>
              <w:jc w:val="center"/>
              <w:rPr>
                <w:b/>
                <w:bCs/>
                <w:sz w:val="16"/>
                <w:szCs w:val="16"/>
              </w:rPr>
            </w:pPr>
            <w:r w:rsidRPr="00531545">
              <w:rPr>
                <w:b/>
                <w:bCs/>
                <w:sz w:val="16"/>
                <w:szCs w:val="16"/>
              </w:rPr>
              <w:t>Kategória regiónu</w:t>
            </w:r>
          </w:p>
        </w:tc>
        <w:tc>
          <w:tcPr>
            <w:tcW w:w="2278"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1F436198" w14:textId="77777777" w:rsidR="00377D51" w:rsidRPr="00531545" w:rsidRDefault="00377D51" w:rsidP="00744056">
            <w:pPr>
              <w:jc w:val="center"/>
              <w:rPr>
                <w:b/>
                <w:bCs/>
                <w:sz w:val="16"/>
                <w:szCs w:val="16"/>
              </w:rPr>
            </w:pPr>
            <w:r w:rsidRPr="00531545">
              <w:rPr>
                <w:b/>
                <w:bCs/>
                <w:sz w:val="16"/>
                <w:szCs w:val="16"/>
              </w:rPr>
              <w:t>Cieľová hodnota (2022)</w:t>
            </w:r>
          </w:p>
        </w:tc>
        <w:tc>
          <w:tcPr>
            <w:tcW w:w="1144" w:type="dxa"/>
            <w:vMerge w:val="restart"/>
            <w:tcBorders>
              <w:top w:val="single" w:sz="8" w:space="0" w:color="4E67C8"/>
              <w:left w:val="single" w:sz="8" w:space="0" w:color="4E67C8"/>
              <w:right w:val="single" w:sz="8" w:space="0" w:color="4E67C8"/>
            </w:tcBorders>
            <w:shd w:val="clear" w:color="auto" w:fill="auto"/>
            <w:vAlign w:val="center"/>
          </w:tcPr>
          <w:p w14:paraId="7703C4BB" w14:textId="77777777" w:rsidR="00377D51" w:rsidRPr="00531545" w:rsidRDefault="00377D51" w:rsidP="00744056">
            <w:pPr>
              <w:jc w:val="center"/>
              <w:rPr>
                <w:b/>
                <w:bCs/>
                <w:sz w:val="16"/>
                <w:szCs w:val="16"/>
              </w:rPr>
            </w:pPr>
            <w:r w:rsidRPr="00531545">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669F22D5" w14:textId="77777777" w:rsidR="00377D51" w:rsidRPr="00531545" w:rsidRDefault="00377D51" w:rsidP="00744056">
            <w:pPr>
              <w:jc w:val="center"/>
              <w:rPr>
                <w:b/>
                <w:bCs/>
                <w:sz w:val="16"/>
                <w:szCs w:val="16"/>
              </w:rPr>
            </w:pPr>
            <w:r w:rsidRPr="00531545">
              <w:rPr>
                <w:b/>
                <w:bCs/>
                <w:sz w:val="16"/>
                <w:szCs w:val="16"/>
              </w:rPr>
              <w:t>Frekvencia podávania správ</w:t>
            </w:r>
          </w:p>
        </w:tc>
        <w:tc>
          <w:tcPr>
            <w:tcW w:w="5745" w:type="dxa"/>
            <w:vMerge w:val="restart"/>
            <w:tcBorders>
              <w:top w:val="single" w:sz="8" w:space="0" w:color="4E67C8"/>
              <w:left w:val="single" w:sz="8" w:space="0" w:color="4E67C8"/>
              <w:right w:val="single" w:sz="8" w:space="0" w:color="4E67C8"/>
            </w:tcBorders>
          </w:tcPr>
          <w:p w14:paraId="02082A9C" w14:textId="77777777" w:rsidR="00377D51" w:rsidRPr="00531545" w:rsidRDefault="00377D51" w:rsidP="00744056">
            <w:pPr>
              <w:jc w:val="center"/>
              <w:rPr>
                <w:b/>
                <w:bCs/>
                <w:sz w:val="16"/>
                <w:szCs w:val="16"/>
              </w:rPr>
            </w:pPr>
            <w:r w:rsidRPr="00531545">
              <w:rPr>
                <w:b/>
                <w:bCs/>
                <w:sz w:val="16"/>
                <w:szCs w:val="16"/>
              </w:rPr>
              <w:t>Zdôvodnenie zmeny cieľovej hodnoty ukazovateľa</w:t>
            </w:r>
          </w:p>
        </w:tc>
      </w:tr>
      <w:tr w:rsidR="00377D51" w:rsidRPr="00531545" w14:paraId="649911EA" w14:textId="77777777" w:rsidTr="00744056">
        <w:trPr>
          <w:trHeight w:val="397"/>
        </w:trPr>
        <w:tc>
          <w:tcPr>
            <w:tcW w:w="699" w:type="dxa"/>
            <w:vMerge/>
            <w:tcBorders>
              <w:left w:val="single" w:sz="8" w:space="0" w:color="4E67C8"/>
              <w:bottom w:val="single" w:sz="18" w:space="0" w:color="4E67C8"/>
              <w:right w:val="single" w:sz="8" w:space="0" w:color="4E67C8"/>
            </w:tcBorders>
            <w:shd w:val="clear" w:color="auto" w:fill="auto"/>
          </w:tcPr>
          <w:p w14:paraId="49D8473A" w14:textId="77777777" w:rsidR="00377D51" w:rsidRPr="00531545" w:rsidRDefault="00377D51" w:rsidP="00744056">
            <w:pPr>
              <w:rPr>
                <w:bCs/>
                <w:sz w:val="16"/>
                <w:szCs w:val="16"/>
              </w:rPr>
            </w:pPr>
          </w:p>
        </w:tc>
        <w:tc>
          <w:tcPr>
            <w:tcW w:w="1559" w:type="dxa"/>
            <w:vMerge/>
            <w:tcBorders>
              <w:left w:val="single" w:sz="8" w:space="0" w:color="4E67C8"/>
              <w:bottom w:val="single" w:sz="18" w:space="0" w:color="4E67C8"/>
              <w:right w:val="single" w:sz="8" w:space="0" w:color="4E67C8"/>
            </w:tcBorders>
            <w:shd w:val="clear" w:color="auto" w:fill="auto"/>
          </w:tcPr>
          <w:p w14:paraId="09314D85" w14:textId="77777777" w:rsidR="00377D51" w:rsidRPr="00531545" w:rsidRDefault="00377D51" w:rsidP="00744056">
            <w:pPr>
              <w:rPr>
                <w:b/>
                <w:bCs/>
                <w:sz w:val="16"/>
                <w:szCs w:val="16"/>
              </w:rPr>
            </w:pPr>
          </w:p>
        </w:tc>
        <w:tc>
          <w:tcPr>
            <w:tcW w:w="851" w:type="dxa"/>
            <w:vMerge/>
            <w:tcBorders>
              <w:left w:val="single" w:sz="8" w:space="0" w:color="4E67C8"/>
              <w:bottom w:val="single" w:sz="18" w:space="0" w:color="4E67C8"/>
              <w:right w:val="single" w:sz="8" w:space="0" w:color="4E67C8"/>
            </w:tcBorders>
            <w:shd w:val="clear" w:color="auto" w:fill="auto"/>
          </w:tcPr>
          <w:p w14:paraId="4377ABCD" w14:textId="77777777" w:rsidR="00377D51" w:rsidRPr="00531545" w:rsidRDefault="00377D51" w:rsidP="00744056">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6106B20F" w14:textId="77777777" w:rsidR="00377D51" w:rsidRPr="00531545" w:rsidRDefault="00377D51" w:rsidP="00744056">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58E9DA71" w14:textId="77777777" w:rsidR="00377D51" w:rsidRPr="00531545" w:rsidRDefault="00377D51" w:rsidP="00744056">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E6DF798" w14:textId="77777777" w:rsidR="00377D51" w:rsidRPr="00531545" w:rsidRDefault="00377D51" w:rsidP="00744056">
            <w:pPr>
              <w:jc w:val="center"/>
              <w:rPr>
                <w:b/>
                <w:bCs/>
                <w:sz w:val="16"/>
                <w:szCs w:val="16"/>
              </w:rPr>
            </w:pPr>
            <w:r w:rsidRPr="00531545">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BC05430" w14:textId="77777777" w:rsidR="00377D51" w:rsidRPr="00531545" w:rsidRDefault="00377D51" w:rsidP="00744056">
            <w:pPr>
              <w:jc w:val="center"/>
              <w:rPr>
                <w:b/>
                <w:bCs/>
                <w:sz w:val="16"/>
                <w:szCs w:val="16"/>
              </w:rPr>
            </w:pPr>
            <w:r w:rsidRPr="00531545">
              <w:rPr>
                <w:b/>
                <w:bCs/>
                <w:sz w:val="16"/>
                <w:szCs w:val="16"/>
              </w:rPr>
              <w:t>Ž</w:t>
            </w:r>
          </w:p>
        </w:tc>
        <w:tc>
          <w:tcPr>
            <w:tcW w:w="1144"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C6AAAB4" w14:textId="77777777" w:rsidR="00377D51" w:rsidRPr="00531545" w:rsidRDefault="00377D51" w:rsidP="00744056">
            <w:pPr>
              <w:jc w:val="center"/>
              <w:rPr>
                <w:b/>
                <w:bCs/>
                <w:sz w:val="16"/>
                <w:szCs w:val="16"/>
              </w:rPr>
            </w:pPr>
            <w:r w:rsidRPr="00531545">
              <w:rPr>
                <w:b/>
                <w:bCs/>
                <w:sz w:val="16"/>
                <w:szCs w:val="16"/>
              </w:rPr>
              <w:t>M+Ž</w:t>
            </w:r>
          </w:p>
        </w:tc>
        <w:tc>
          <w:tcPr>
            <w:tcW w:w="1144" w:type="dxa"/>
            <w:vMerge/>
            <w:tcBorders>
              <w:left w:val="single" w:sz="8" w:space="0" w:color="4E67C8"/>
              <w:bottom w:val="single" w:sz="18" w:space="0" w:color="4E67C8"/>
              <w:right w:val="single" w:sz="8" w:space="0" w:color="4E67C8"/>
            </w:tcBorders>
            <w:shd w:val="clear" w:color="auto" w:fill="auto"/>
          </w:tcPr>
          <w:p w14:paraId="43237935" w14:textId="77777777" w:rsidR="00377D51" w:rsidRPr="00531545" w:rsidRDefault="00377D51" w:rsidP="00744056">
            <w:pPr>
              <w:rPr>
                <w:b/>
                <w:bCs/>
                <w:sz w:val="16"/>
                <w:szCs w:val="16"/>
              </w:rPr>
            </w:pPr>
          </w:p>
        </w:tc>
        <w:tc>
          <w:tcPr>
            <w:tcW w:w="992" w:type="dxa"/>
            <w:vMerge/>
            <w:tcBorders>
              <w:left w:val="single" w:sz="8" w:space="0" w:color="4E67C8"/>
              <w:bottom w:val="single" w:sz="18" w:space="0" w:color="4E67C8"/>
              <w:right w:val="single" w:sz="8" w:space="0" w:color="4E67C8"/>
            </w:tcBorders>
          </w:tcPr>
          <w:p w14:paraId="42EDBA79" w14:textId="77777777" w:rsidR="00377D51" w:rsidRPr="00531545" w:rsidRDefault="00377D51" w:rsidP="00744056">
            <w:pPr>
              <w:rPr>
                <w:b/>
                <w:bCs/>
                <w:sz w:val="16"/>
                <w:szCs w:val="16"/>
              </w:rPr>
            </w:pPr>
          </w:p>
        </w:tc>
        <w:tc>
          <w:tcPr>
            <w:tcW w:w="5745" w:type="dxa"/>
            <w:vMerge/>
            <w:tcBorders>
              <w:left w:val="single" w:sz="8" w:space="0" w:color="4E67C8"/>
              <w:bottom w:val="single" w:sz="18" w:space="0" w:color="4E67C8"/>
              <w:right w:val="single" w:sz="8" w:space="0" w:color="4E67C8"/>
            </w:tcBorders>
          </w:tcPr>
          <w:p w14:paraId="35179417" w14:textId="77777777" w:rsidR="00377D51" w:rsidRPr="00531545" w:rsidRDefault="00377D51" w:rsidP="00744056">
            <w:pPr>
              <w:rPr>
                <w:b/>
                <w:bCs/>
                <w:sz w:val="16"/>
                <w:szCs w:val="16"/>
              </w:rPr>
            </w:pPr>
          </w:p>
        </w:tc>
      </w:tr>
      <w:tr w:rsidR="00377D51" w:rsidRPr="00531545" w14:paraId="77EB3B71"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5F513CDC" w14:textId="77777777" w:rsidR="00377D51" w:rsidRPr="00531545" w:rsidRDefault="00377D51" w:rsidP="00744056">
            <w:pPr>
              <w:rPr>
                <w:sz w:val="16"/>
                <w:szCs w:val="16"/>
              </w:rPr>
            </w:pPr>
            <w:r w:rsidRPr="00531545">
              <w:rPr>
                <w:bCs/>
                <w:sz w:val="16"/>
                <w:szCs w:val="16"/>
              </w:rPr>
              <w:t>C031</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4A98B19E" w14:textId="77777777" w:rsidR="00377D51" w:rsidRPr="00531545" w:rsidRDefault="00377D51" w:rsidP="00744056">
            <w:pPr>
              <w:rPr>
                <w:sz w:val="16"/>
                <w:szCs w:val="16"/>
              </w:rPr>
            </w:pPr>
            <w:r w:rsidRPr="00531545">
              <w:rPr>
                <w:sz w:val="16"/>
                <w:szCs w:val="16"/>
              </w:rPr>
              <w:t>Počet domácností zaradených do zlepšenej energetickej triedy</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5EE2D13D" w14:textId="77777777" w:rsidR="00377D51" w:rsidRPr="00531545" w:rsidRDefault="00377D51" w:rsidP="00744056">
            <w:pPr>
              <w:jc w:val="center"/>
              <w:rPr>
                <w:bCs/>
                <w:sz w:val="16"/>
                <w:szCs w:val="16"/>
              </w:rPr>
            </w:pPr>
            <w:r w:rsidRPr="00531545">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3E81FF01"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1C20AE25" w14:textId="77777777" w:rsidR="00377D51" w:rsidRPr="00531545" w:rsidRDefault="00377D51" w:rsidP="00744056">
            <w:pPr>
              <w:jc w:val="center"/>
              <w:rPr>
                <w:bCs/>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CC580AF"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FE678BD"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37B2C938" w14:textId="77777777" w:rsidR="00377D51" w:rsidRPr="00531545" w:rsidDel="00967649" w:rsidRDefault="00377D51" w:rsidP="00744056">
            <w:pPr>
              <w:jc w:val="center"/>
              <w:rPr>
                <w:sz w:val="16"/>
                <w:szCs w:val="16"/>
              </w:rPr>
            </w:pPr>
            <w:r w:rsidRPr="00531545">
              <w:rPr>
                <w:sz w:val="16"/>
                <w:szCs w:val="16"/>
              </w:rPr>
              <w:t>11 748</w:t>
            </w:r>
          </w:p>
        </w:tc>
        <w:tc>
          <w:tcPr>
            <w:tcW w:w="1144" w:type="dxa"/>
            <w:vMerge w:val="restart"/>
            <w:tcBorders>
              <w:top w:val="single" w:sz="8" w:space="0" w:color="4E67C8"/>
              <w:left w:val="single" w:sz="8" w:space="0" w:color="4E67C8"/>
              <w:right w:val="single" w:sz="8" w:space="0" w:color="4E67C8"/>
            </w:tcBorders>
            <w:shd w:val="clear" w:color="auto" w:fill="auto"/>
          </w:tcPr>
          <w:p w14:paraId="60DE4C06" w14:textId="77777777" w:rsidR="00377D51" w:rsidRPr="00531545" w:rsidRDefault="00377D51" w:rsidP="00744056">
            <w:pPr>
              <w:jc w:val="center"/>
              <w:rPr>
                <w:sz w:val="16"/>
                <w:szCs w:val="16"/>
              </w:rPr>
            </w:pPr>
            <w:r w:rsidRPr="00531545">
              <w:rPr>
                <w:color w:val="000000"/>
                <w:sz w:val="16"/>
                <w:szCs w:val="16"/>
              </w:rPr>
              <w:t>Štatistický úrad SR a ŠFRB</w:t>
            </w:r>
          </w:p>
        </w:tc>
        <w:tc>
          <w:tcPr>
            <w:tcW w:w="992" w:type="dxa"/>
            <w:vMerge w:val="restart"/>
            <w:tcBorders>
              <w:top w:val="single" w:sz="8" w:space="0" w:color="4E67C8"/>
              <w:left w:val="single" w:sz="8" w:space="0" w:color="4E67C8"/>
              <w:right w:val="single" w:sz="8" w:space="0" w:color="4E67C8"/>
            </w:tcBorders>
            <w:shd w:val="clear" w:color="auto" w:fill="auto"/>
          </w:tcPr>
          <w:p w14:paraId="4B17647C" w14:textId="77777777" w:rsidR="00377D51" w:rsidRPr="00531545" w:rsidRDefault="00377D51" w:rsidP="00744056">
            <w:pPr>
              <w:jc w:val="center"/>
              <w:rPr>
                <w:bCs/>
                <w:sz w:val="16"/>
                <w:szCs w:val="16"/>
              </w:rPr>
            </w:pPr>
            <w:r w:rsidRPr="00531545">
              <w:rPr>
                <w:sz w:val="16"/>
                <w:szCs w:val="16"/>
              </w:rPr>
              <w:t>ročne</w:t>
            </w:r>
          </w:p>
        </w:tc>
        <w:tc>
          <w:tcPr>
            <w:tcW w:w="5745" w:type="dxa"/>
            <w:vMerge w:val="restart"/>
          </w:tcPr>
          <w:p w14:paraId="5B76CEE0" w14:textId="77777777" w:rsidR="00377D51" w:rsidRPr="00531545" w:rsidRDefault="00377D51" w:rsidP="00744056">
            <w:pPr>
              <w:jc w:val="both"/>
              <w:rPr>
                <w:sz w:val="16"/>
                <w:szCs w:val="16"/>
              </w:rPr>
            </w:pPr>
            <w:r>
              <w:rPr>
                <w:sz w:val="16"/>
                <w:szCs w:val="16"/>
              </w:rPr>
              <w:t xml:space="preserve">Upravené hodnoty ukazovateľov zohľadňujú aktuálny dopyt v rámci realizácie podpory </w:t>
            </w:r>
            <w:bookmarkStart w:id="0" w:name="_Toc83396196"/>
            <w:bookmarkStart w:id="1" w:name="_Toc83396712"/>
            <w:r w:rsidRPr="005372EF">
              <w:rPr>
                <w:sz w:val="16"/>
                <w:szCs w:val="16"/>
              </w:rPr>
              <w:t>na zvýšenie energetickej efektívnosti bytových domov prostredníctvom poskytovania úverov na renováciu</w:t>
            </w:r>
            <w:bookmarkEnd w:id="0"/>
            <w:bookmarkEnd w:id="1"/>
            <w:r>
              <w:rPr>
                <w:sz w:val="16"/>
                <w:szCs w:val="16"/>
              </w:rPr>
              <w:t xml:space="preserve"> Štátnym fondom rozvoja bývania. Zároveň bola zohľadnená aktuálna situácia v oblasti stavebníctva. Bližší popis je v časti 3. d) dokumentu.</w:t>
            </w:r>
          </w:p>
        </w:tc>
      </w:tr>
      <w:tr w:rsidR="00377D51" w:rsidRPr="00531545" w14:paraId="4CE4A864"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1654569D" w14:textId="77777777" w:rsidR="00377D51" w:rsidRPr="00531545" w:rsidRDefault="00377D51" w:rsidP="00744056">
            <w:pPr>
              <w:rPr>
                <w:sz w:val="16"/>
                <w:szCs w:val="16"/>
              </w:rPr>
            </w:pPr>
            <w:r w:rsidRPr="00531545">
              <w:rPr>
                <w:bCs/>
                <w:sz w:val="16"/>
                <w:szCs w:val="16"/>
              </w:rPr>
              <w:t>C031</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3C8B828D" w14:textId="77777777" w:rsidR="00377D51" w:rsidRPr="00531545" w:rsidRDefault="00377D51" w:rsidP="00744056">
            <w:pPr>
              <w:rPr>
                <w:sz w:val="16"/>
                <w:szCs w:val="16"/>
              </w:rPr>
            </w:pPr>
            <w:r w:rsidRPr="00531545">
              <w:rPr>
                <w:sz w:val="16"/>
                <w:szCs w:val="16"/>
              </w:rPr>
              <w:t>Počet domácností zaradených do zlepšenej energetickej triedy</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4F1C39EE" w14:textId="77777777" w:rsidR="00377D51" w:rsidRPr="00531545" w:rsidRDefault="00377D51" w:rsidP="00744056">
            <w:pPr>
              <w:jc w:val="center"/>
              <w:rPr>
                <w:bCs/>
                <w:sz w:val="16"/>
                <w:szCs w:val="16"/>
              </w:rPr>
            </w:pPr>
            <w:r w:rsidRPr="00531545">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08E75015"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2CF7E955" w14:textId="77777777" w:rsidR="00377D51" w:rsidRPr="00531545" w:rsidRDefault="00377D51" w:rsidP="00744056">
            <w:pPr>
              <w:jc w:val="center"/>
              <w:rPr>
                <w:bCs/>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DBF2218"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88BBFBE"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5447D1BC" w14:textId="77777777" w:rsidR="00377D51" w:rsidRPr="00531545" w:rsidDel="00967649" w:rsidRDefault="00377D51" w:rsidP="00744056">
            <w:pPr>
              <w:jc w:val="center"/>
              <w:rPr>
                <w:sz w:val="16"/>
                <w:szCs w:val="16"/>
              </w:rPr>
            </w:pPr>
            <w:r w:rsidRPr="00531545">
              <w:rPr>
                <w:sz w:val="16"/>
                <w:szCs w:val="16"/>
              </w:rPr>
              <w:t>1 001</w:t>
            </w:r>
          </w:p>
        </w:tc>
        <w:tc>
          <w:tcPr>
            <w:tcW w:w="1144" w:type="dxa"/>
            <w:vMerge/>
            <w:tcBorders>
              <w:left w:val="single" w:sz="8" w:space="0" w:color="4E67C8"/>
              <w:bottom w:val="single" w:sz="8" w:space="0" w:color="4E67C8"/>
              <w:right w:val="single" w:sz="8" w:space="0" w:color="4E67C8"/>
            </w:tcBorders>
            <w:shd w:val="clear" w:color="auto" w:fill="auto"/>
          </w:tcPr>
          <w:p w14:paraId="624600D9" w14:textId="77777777" w:rsidR="00377D51" w:rsidRPr="00531545" w:rsidRDefault="00377D51" w:rsidP="00744056">
            <w:pPr>
              <w:jc w:val="center"/>
              <w:rPr>
                <w:sz w:val="16"/>
                <w:szCs w:val="16"/>
              </w:rPr>
            </w:pPr>
          </w:p>
        </w:tc>
        <w:tc>
          <w:tcPr>
            <w:tcW w:w="992" w:type="dxa"/>
            <w:vMerge/>
            <w:tcBorders>
              <w:left w:val="single" w:sz="8" w:space="0" w:color="4E67C8"/>
              <w:bottom w:val="single" w:sz="8" w:space="0" w:color="4E67C8"/>
              <w:right w:val="single" w:sz="8" w:space="0" w:color="4E67C8"/>
            </w:tcBorders>
            <w:shd w:val="clear" w:color="auto" w:fill="auto"/>
          </w:tcPr>
          <w:p w14:paraId="329B5FB9" w14:textId="77777777" w:rsidR="00377D51" w:rsidRPr="00531545" w:rsidRDefault="00377D51" w:rsidP="00744056">
            <w:pPr>
              <w:jc w:val="center"/>
              <w:rPr>
                <w:bCs/>
                <w:sz w:val="16"/>
                <w:szCs w:val="16"/>
              </w:rPr>
            </w:pPr>
          </w:p>
        </w:tc>
        <w:tc>
          <w:tcPr>
            <w:tcW w:w="5745" w:type="dxa"/>
            <w:vMerge/>
          </w:tcPr>
          <w:p w14:paraId="0DB3FC59" w14:textId="77777777" w:rsidR="00377D51" w:rsidRPr="00531545" w:rsidRDefault="00377D51" w:rsidP="00744056">
            <w:pPr>
              <w:jc w:val="both"/>
              <w:rPr>
                <w:sz w:val="16"/>
                <w:szCs w:val="16"/>
              </w:rPr>
            </w:pPr>
          </w:p>
        </w:tc>
      </w:tr>
      <w:tr w:rsidR="00377D51" w:rsidRPr="00531545" w14:paraId="155F24B9"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7B1CD7CC" w14:textId="77777777" w:rsidR="00377D51" w:rsidRPr="00531545" w:rsidRDefault="00377D51" w:rsidP="00744056">
            <w:pPr>
              <w:rPr>
                <w:sz w:val="16"/>
                <w:szCs w:val="16"/>
              </w:rPr>
            </w:pPr>
            <w:r w:rsidRPr="00531545">
              <w:rPr>
                <w:bCs/>
                <w:sz w:val="16"/>
                <w:szCs w:val="16"/>
              </w:rPr>
              <w:t>O0259</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1C8F944A" w14:textId="77777777" w:rsidR="00377D51" w:rsidRPr="00531545" w:rsidRDefault="00377D51" w:rsidP="00744056">
            <w:pPr>
              <w:rPr>
                <w:sz w:val="16"/>
                <w:szCs w:val="16"/>
              </w:rPr>
            </w:pPr>
            <w:r w:rsidRPr="00531545">
              <w:rPr>
                <w:sz w:val="16"/>
                <w:szCs w:val="16"/>
              </w:rPr>
              <w:t>Ročná spotreba primárnej energie v bytových domoch</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4B389301" w14:textId="77777777" w:rsidR="00377D51" w:rsidRPr="00531545" w:rsidRDefault="00377D51" w:rsidP="00744056">
            <w:pPr>
              <w:jc w:val="center"/>
              <w:rPr>
                <w:bCs/>
                <w:sz w:val="16"/>
                <w:szCs w:val="16"/>
              </w:rPr>
            </w:pPr>
            <w:r w:rsidRPr="00531545">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546C6913"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5E07E454" w14:textId="77777777" w:rsidR="00377D51" w:rsidRPr="00531545" w:rsidRDefault="00377D51" w:rsidP="00744056">
            <w:pPr>
              <w:jc w:val="center"/>
              <w:rPr>
                <w:bCs/>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FCF4FF7"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F3BB4AE"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308F8474" w14:textId="77777777" w:rsidR="00377D51" w:rsidRPr="00531545" w:rsidDel="00967649" w:rsidRDefault="00377D51" w:rsidP="00744056">
            <w:pPr>
              <w:jc w:val="center"/>
              <w:rPr>
                <w:sz w:val="16"/>
                <w:szCs w:val="16"/>
              </w:rPr>
            </w:pPr>
            <w:r w:rsidRPr="00531545">
              <w:rPr>
                <w:sz w:val="16"/>
                <w:szCs w:val="16"/>
              </w:rPr>
              <w:t>64 470 556</w:t>
            </w:r>
          </w:p>
        </w:tc>
        <w:tc>
          <w:tcPr>
            <w:tcW w:w="1144" w:type="dxa"/>
            <w:vMerge w:val="restart"/>
            <w:tcBorders>
              <w:top w:val="single" w:sz="8" w:space="0" w:color="4E67C8"/>
              <w:left w:val="single" w:sz="8" w:space="0" w:color="4E67C8"/>
              <w:right w:val="single" w:sz="8" w:space="0" w:color="4E67C8"/>
            </w:tcBorders>
            <w:shd w:val="clear" w:color="auto" w:fill="auto"/>
          </w:tcPr>
          <w:p w14:paraId="0CD918C1" w14:textId="77777777" w:rsidR="00377D51" w:rsidRPr="00531545" w:rsidRDefault="00377D51" w:rsidP="00744056">
            <w:pPr>
              <w:jc w:val="center"/>
              <w:rPr>
                <w:sz w:val="16"/>
                <w:szCs w:val="16"/>
              </w:rPr>
            </w:pPr>
            <w:r w:rsidRPr="00531545">
              <w:rPr>
                <w:sz w:val="16"/>
                <w:szCs w:val="16"/>
              </w:rPr>
              <w:t>Monitorovací systém energetickej efektívnosti (SIEA), ITMS</w:t>
            </w:r>
          </w:p>
        </w:tc>
        <w:tc>
          <w:tcPr>
            <w:tcW w:w="992" w:type="dxa"/>
            <w:vMerge w:val="restart"/>
            <w:tcBorders>
              <w:top w:val="single" w:sz="8" w:space="0" w:color="4E67C8"/>
              <w:left w:val="single" w:sz="8" w:space="0" w:color="4E67C8"/>
              <w:right w:val="single" w:sz="8" w:space="0" w:color="4E67C8"/>
            </w:tcBorders>
            <w:shd w:val="clear" w:color="auto" w:fill="auto"/>
          </w:tcPr>
          <w:p w14:paraId="7F9769F1" w14:textId="77777777" w:rsidR="00377D51" w:rsidRPr="00531545" w:rsidRDefault="00377D51" w:rsidP="00744056">
            <w:pPr>
              <w:jc w:val="center"/>
              <w:rPr>
                <w:bCs/>
                <w:sz w:val="16"/>
                <w:szCs w:val="16"/>
              </w:rPr>
            </w:pPr>
            <w:r w:rsidRPr="00531545">
              <w:rPr>
                <w:sz w:val="16"/>
                <w:szCs w:val="16"/>
              </w:rPr>
              <w:t>ročne</w:t>
            </w:r>
          </w:p>
        </w:tc>
        <w:tc>
          <w:tcPr>
            <w:tcW w:w="5745" w:type="dxa"/>
            <w:vMerge w:val="restart"/>
          </w:tcPr>
          <w:p w14:paraId="6EC84DD7" w14:textId="77777777" w:rsidR="00377D51" w:rsidRPr="00531545" w:rsidRDefault="00377D51" w:rsidP="00744056">
            <w:pPr>
              <w:jc w:val="both"/>
              <w:rPr>
                <w:sz w:val="16"/>
                <w:szCs w:val="16"/>
              </w:rPr>
            </w:pPr>
            <w:r>
              <w:rPr>
                <w:sz w:val="16"/>
                <w:szCs w:val="16"/>
              </w:rPr>
              <w:t xml:space="preserve">Upravené hodnoty ukazovateľov zohľadňujú aktuálny dopyt v rámci realizácie podpory </w:t>
            </w:r>
            <w:r w:rsidRPr="005372EF">
              <w:rPr>
                <w:sz w:val="16"/>
                <w:szCs w:val="16"/>
              </w:rPr>
              <w:t>na zvýšenie energetickej efektívnosti bytových domov prostredníctvom poskytovania úverov na renováciu</w:t>
            </w:r>
            <w:r>
              <w:rPr>
                <w:sz w:val="16"/>
                <w:szCs w:val="16"/>
              </w:rPr>
              <w:t xml:space="preserve"> Štátnym fondom rozvoja bývania. Zároveň bola zohľadnená aktuálna situácia v oblasti stavebníctva. Bližší popis je v časti 3. d) dokumentu.</w:t>
            </w:r>
          </w:p>
        </w:tc>
      </w:tr>
      <w:tr w:rsidR="00377D51" w:rsidRPr="00531545" w14:paraId="24114278"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7E108B2B" w14:textId="77777777" w:rsidR="00377D51" w:rsidRPr="00531545" w:rsidRDefault="00377D51" w:rsidP="00744056">
            <w:pPr>
              <w:rPr>
                <w:sz w:val="16"/>
                <w:szCs w:val="16"/>
              </w:rPr>
            </w:pPr>
            <w:r w:rsidRPr="00531545">
              <w:rPr>
                <w:bCs/>
                <w:sz w:val="16"/>
                <w:szCs w:val="16"/>
              </w:rPr>
              <w:t>O0259</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5BB7F924" w14:textId="77777777" w:rsidR="00377D51" w:rsidRPr="00531545" w:rsidRDefault="00377D51" w:rsidP="00744056">
            <w:pPr>
              <w:rPr>
                <w:sz w:val="16"/>
                <w:szCs w:val="16"/>
              </w:rPr>
            </w:pPr>
            <w:r w:rsidRPr="00531545">
              <w:rPr>
                <w:sz w:val="16"/>
                <w:szCs w:val="16"/>
              </w:rPr>
              <w:t>Ročná spotreba primárnej energie v bytových domoch</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3BDDB21F" w14:textId="77777777" w:rsidR="00377D51" w:rsidRPr="00531545" w:rsidRDefault="00377D51" w:rsidP="00744056">
            <w:pPr>
              <w:jc w:val="center"/>
              <w:rPr>
                <w:bCs/>
                <w:sz w:val="16"/>
                <w:szCs w:val="16"/>
              </w:rPr>
            </w:pPr>
            <w:r w:rsidRPr="00531545">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43071326"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01766204" w14:textId="77777777" w:rsidR="00377D51" w:rsidRPr="00531545" w:rsidRDefault="00377D51" w:rsidP="00744056">
            <w:pPr>
              <w:jc w:val="center"/>
              <w:rPr>
                <w:bCs/>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59AD253"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0F838DB4"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44DFDF46" w14:textId="77777777" w:rsidR="00377D51" w:rsidRPr="00531545" w:rsidDel="00967649" w:rsidRDefault="00377D51" w:rsidP="00744056">
            <w:pPr>
              <w:jc w:val="center"/>
              <w:rPr>
                <w:sz w:val="16"/>
                <w:szCs w:val="16"/>
              </w:rPr>
            </w:pPr>
            <w:r w:rsidRPr="00531545">
              <w:rPr>
                <w:sz w:val="16"/>
                <w:szCs w:val="16"/>
              </w:rPr>
              <w:t>5 492 732</w:t>
            </w:r>
          </w:p>
        </w:tc>
        <w:tc>
          <w:tcPr>
            <w:tcW w:w="1144" w:type="dxa"/>
            <w:vMerge/>
            <w:tcBorders>
              <w:left w:val="single" w:sz="8" w:space="0" w:color="4E67C8"/>
              <w:bottom w:val="single" w:sz="8" w:space="0" w:color="4E67C8"/>
              <w:right w:val="single" w:sz="8" w:space="0" w:color="4E67C8"/>
            </w:tcBorders>
            <w:shd w:val="clear" w:color="auto" w:fill="auto"/>
          </w:tcPr>
          <w:p w14:paraId="5B8552B3" w14:textId="77777777" w:rsidR="00377D51" w:rsidRPr="00531545" w:rsidRDefault="00377D51" w:rsidP="00744056">
            <w:pPr>
              <w:jc w:val="center"/>
              <w:rPr>
                <w:sz w:val="16"/>
                <w:szCs w:val="16"/>
              </w:rPr>
            </w:pPr>
          </w:p>
        </w:tc>
        <w:tc>
          <w:tcPr>
            <w:tcW w:w="992" w:type="dxa"/>
            <w:vMerge/>
            <w:tcBorders>
              <w:left w:val="single" w:sz="8" w:space="0" w:color="4E67C8"/>
              <w:bottom w:val="single" w:sz="8" w:space="0" w:color="4E67C8"/>
              <w:right w:val="single" w:sz="8" w:space="0" w:color="4E67C8"/>
            </w:tcBorders>
            <w:shd w:val="clear" w:color="auto" w:fill="auto"/>
          </w:tcPr>
          <w:p w14:paraId="24C287CD" w14:textId="77777777" w:rsidR="00377D51" w:rsidRPr="00531545" w:rsidRDefault="00377D51" w:rsidP="00744056">
            <w:pPr>
              <w:jc w:val="center"/>
              <w:rPr>
                <w:bCs/>
                <w:sz w:val="16"/>
                <w:szCs w:val="16"/>
              </w:rPr>
            </w:pPr>
          </w:p>
        </w:tc>
        <w:tc>
          <w:tcPr>
            <w:tcW w:w="5745" w:type="dxa"/>
            <w:vMerge/>
          </w:tcPr>
          <w:p w14:paraId="55E09717" w14:textId="77777777" w:rsidR="00377D51" w:rsidRPr="00531545" w:rsidRDefault="00377D51" w:rsidP="00744056">
            <w:pPr>
              <w:jc w:val="both"/>
              <w:rPr>
                <w:sz w:val="16"/>
                <w:szCs w:val="16"/>
              </w:rPr>
            </w:pPr>
          </w:p>
        </w:tc>
      </w:tr>
      <w:tr w:rsidR="00377D51" w:rsidRPr="00531545" w14:paraId="40E39B0D"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452FCBC3" w14:textId="77777777" w:rsidR="00377D51" w:rsidRPr="00531545" w:rsidRDefault="00377D51" w:rsidP="00744056">
            <w:pPr>
              <w:rPr>
                <w:bCs/>
                <w:sz w:val="16"/>
                <w:szCs w:val="16"/>
              </w:rPr>
            </w:pPr>
            <w:r>
              <w:rPr>
                <w:bCs/>
                <w:sz w:val="16"/>
                <w:szCs w:val="16"/>
              </w:rPr>
              <w:t>O0255</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55A8CD55" w14:textId="77777777" w:rsidR="00377D51" w:rsidRPr="00531545" w:rsidRDefault="00377D51" w:rsidP="00744056">
            <w:pPr>
              <w:rPr>
                <w:sz w:val="16"/>
                <w:szCs w:val="16"/>
              </w:rPr>
            </w:pPr>
            <w:r w:rsidRPr="00531545">
              <w:rPr>
                <w:sz w:val="16"/>
                <w:szCs w:val="16"/>
              </w:rPr>
              <w:t>Konečná spotreba energie</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47DA1962" w14:textId="77777777" w:rsidR="00377D51" w:rsidRPr="00531545" w:rsidRDefault="00377D51" w:rsidP="00744056">
            <w:pPr>
              <w:jc w:val="center"/>
              <w:rPr>
                <w:sz w:val="16"/>
                <w:szCs w:val="16"/>
              </w:rPr>
            </w:pPr>
            <w:r w:rsidRPr="00531545">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150CA6D6"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2169183E" w14:textId="77777777" w:rsidR="00377D51" w:rsidRPr="00531545" w:rsidRDefault="00377D51" w:rsidP="00744056">
            <w:pPr>
              <w:jc w:val="center"/>
              <w:rPr>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7D3B45A"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FBAB284"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685F5947" w14:textId="77777777" w:rsidR="00377D51" w:rsidRPr="00531545" w:rsidRDefault="00377D51" w:rsidP="00744056">
            <w:pPr>
              <w:jc w:val="center"/>
              <w:rPr>
                <w:sz w:val="16"/>
                <w:szCs w:val="16"/>
              </w:rPr>
            </w:pPr>
            <w:r w:rsidRPr="00531545">
              <w:rPr>
                <w:sz w:val="16"/>
                <w:szCs w:val="16"/>
              </w:rPr>
              <w:t>54 799 973</w:t>
            </w:r>
          </w:p>
        </w:tc>
        <w:tc>
          <w:tcPr>
            <w:tcW w:w="1144" w:type="dxa"/>
            <w:vMerge w:val="restart"/>
            <w:tcBorders>
              <w:top w:val="single" w:sz="8" w:space="0" w:color="4E67C8"/>
              <w:left w:val="single" w:sz="8" w:space="0" w:color="4E67C8"/>
              <w:right w:val="single" w:sz="8" w:space="0" w:color="4E67C8"/>
            </w:tcBorders>
            <w:shd w:val="clear" w:color="auto" w:fill="auto"/>
          </w:tcPr>
          <w:p w14:paraId="2CF0E537" w14:textId="77777777" w:rsidR="00377D51" w:rsidRPr="00531545" w:rsidRDefault="00377D51" w:rsidP="00744056">
            <w:pPr>
              <w:jc w:val="center"/>
              <w:rPr>
                <w:sz w:val="16"/>
                <w:szCs w:val="16"/>
              </w:rPr>
            </w:pPr>
            <w:r w:rsidRPr="00531545">
              <w:rPr>
                <w:sz w:val="16"/>
                <w:szCs w:val="16"/>
              </w:rPr>
              <w:t>Monitorovací systém energetickej efektívnosti (SIEA), ITMS</w:t>
            </w:r>
          </w:p>
        </w:tc>
        <w:tc>
          <w:tcPr>
            <w:tcW w:w="992" w:type="dxa"/>
            <w:vMerge w:val="restart"/>
            <w:tcBorders>
              <w:top w:val="single" w:sz="8" w:space="0" w:color="4E67C8"/>
              <w:left w:val="single" w:sz="8" w:space="0" w:color="4E67C8"/>
              <w:right w:val="single" w:sz="8" w:space="0" w:color="4E67C8"/>
            </w:tcBorders>
            <w:shd w:val="clear" w:color="auto" w:fill="auto"/>
          </w:tcPr>
          <w:p w14:paraId="30964274" w14:textId="77777777" w:rsidR="00377D51" w:rsidRPr="00531545" w:rsidRDefault="00377D51" w:rsidP="00744056">
            <w:pPr>
              <w:jc w:val="center"/>
              <w:rPr>
                <w:sz w:val="16"/>
                <w:szCs w:val="16"/>
              </w:rPr>
            </w:pPr>
            <w:r w:rsidRPr="00531545">
              <w:rPr>
                <w:sz w:val="16"/>
                <w:szCs w:val="16"/>
              </w:rPr>
              <w:t>ročne</w:t>
            </w:r>
          </w:p>
        </w:tc>
        <w:tc>
          <w:tcPr>
            <w:tcW w:w="5745" w:type="dxa"/>
            <w:vMerge w:val="restart"/>
          </w:tcPr>
          <w:p w14:paraId="0F801CF5" w14:textId="77777777" w:rsidR="00377D51" w:rsidRPr="00531545" w:rsidRDefault="00377D51" w:rsidP="00744056">
            <w:pPr>
              <w:jc w:val="both"/>
              <w:rPr>
                <w:sz w:val="16"/>
                <w:szCs w:val="16"/>
              </w:rPr>
            </w:pPr>
            <w:r>
              <w:rPr>
                <w:sz w:val="16"/>
                <w:szCs w:val="16"/>
              </w:rPr>
              <w:t xml:space="preserve">Upravené hodnoty ukazovateľov zohľadňujú aktuálny dopyt v rámci realizácie podpory </w:t>
            </w:r>
            <w:r w:rsidRPr="005372EF">
              <w:rPr>
                <w:sz w:val="16"/>
                <w:szCs w:val="16"/>
              </w:rPr>
              <w:t>na zvýšenie energetickej efektívnosti bytových domov prostredníctvom poskytovania úverov na renováciu</w:t>
            </w:r>
            <w:r>
              <w:rPr>
                <w:sz w:val="16"/>
                <w:szCs w:val="16"/>
              </w:rPr>
              <w:t xml:space="preserve"> Štátnym fondom rozvoja bývania. Zároveň bola zohľadnená aktuálna situácia v oblasti stavebníctva. Bližší popis je v časti 3. d) dokumentu.</w:t>
            </w:r>
          </w:p>
        </w:tc>
      </w:tr>
      <w:tr w:rsidR="00377D51" w:rsidRPr="00531545" w14:paraId="2D4EAFC2"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76C01677" w14:textId="77777777" w:rsidR="00377D51" w:rsidRPr="00531545" w:rsidRDefault="00377D51" w:rsidP="00744056">
            <w:pPr>
              <w:rPr>
                <w:bCs/>
                <w:sz w:val="16"/>
                <w:szCs w:val="16"/>
              </w:rPr>
            </w:pPr>
            <w:r w:rsidRPr="00531545">
              <w:rPr>
                <w:bCs/>
                <w:sz w:val="16"/>
                <w:szCs w:val="16"/>
              </w:rPr>
              <w:t>O0255</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422ABDC7" w14:textId="77777777" w:rsidR="00377D51" w:rsidRPr="00531545" w:rsidRDefault="00377D51" w:rsidP="00744056">
            <w:pPr>
              <w:rPr>
                <w:sz w:val="16"/>
                <w:szCs w:val="16"/>
              </w:rPr>
            </w:pPr>
            <w:r w:rsidRPr="00531545">
              <w:rPr>
                <w:sz w:val="16"/>
                <w:szCs w:val="16"/>
              </w:rPr>
              <w:t>Konečná spotreba energie</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7CBF6085" w14:textId="77777777" w:rsidR="00377D51" w:rsidRPr="00531545" w:rsidRDefault="00377D51" w:rsidP="00744056">
            <w:pPr>
              <w:jc w:val="center"/>
              <w:rPr>
                <w:sz w:val="16"/>
                <w:szCs w:val="16"/>
              </w:rPr>
            </w:pPr>
            <w:r w:rsidRPr="00531545">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54E6B75D"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32155E1A" w14:textId="77777777" w:rsidR="00377D51" w:rsidRPr="00531545" w:rsidRDefault="00377D51" w:rsidP="00744056">
            <w:pPr>
              <w:jc w:val="center"/>
              <w:rPr>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8C7D3D3"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5163154"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5F6F17BD" w14:textId="77777777" w:rsidR="00377D51" w:rsidRPr="00531545" w:rsidRDefault="00377D51" w:rsidP="00744056">
            <w:pPr>
              <w:jc w:val="center"/>
              <w:rPr>
                <w:sz w:val="16"/>
                <w:szCs w:val="16"/>
              </w:rPr>
            </w:pPr>
            <w:r w:rsidRPr="00531545">
              <w:rPr>
                <w:sz w:val="16"/>
                <w:szCs w:val="16"/>
              </w:rPr>
              <w:t>4 668 822</w:t>
            </w:r>
          </w:p>
        </w:tc>
        <w:tc>
          <w:tcPr>
            <w:tcW w:w="1144" w:type="dxa"/>
            <w:vMerge/>
            <w:tcBorders>
              <w:left w:val="single" w:sz="8" w:space="0" w:color="4E67C8"/>
              <w:bottom w:val="single" w:sz="8" w:space="0" w:color="4E67C8"/>
              <w:right w:val="single" w:sz="8" w:space="0" w:color="4E67C8"/>
            </w:tcBorders>
            <w:shd w:val="clear" w:color="auto" w:fill="auto"/>
          </w:tcPr>
          <w:p w14:paraId="43EE9EA7" w14:textId="77777777" w:rsidR="00377D51" w:rsidRPr="00531545" w:rsidRDefault="00377D51" w:rsidP="00744056">
            <w:pPr>
              <w:jc w:val="center"/>
              <w:rPr>
                <w:sz w:val="16"/>
                <w:szCs w:val="16"/>
              </w:rPr>
            </w:pPr>
          </w:p>
        </w:tc>
        <w:tc>
          <w:tcPr>
            <w:tcW w:w="992" w:type="dxa"/>
            <w:vMerge/>
            <w:tcBorders>
              <w:left w:val="single" w:sz="8" w:space="0" w:color="4E67C8"/>
              <w:bottom w:val="single" w:sz="8" w:space="0" w:color="4E67C8"/>
              <w:right w:val="single" w:sz="8" w:space="0" w:color="4E67C8"/>
            </w:tcBorders>
            <w:shd w:val="clear" w:color="auto" w:fill="auto"/>
          </w:tcPr>
          <w:p w14:paraId="34494336" w14:textId="77777777" w:rsidR="00377D51" w:rsidRPr="00531545" w:rsidRDefault="00377D51" w:rsidP="00744056">
            <w:pPr>
              <w:jc w:val="center"/>
              <w:rPr>
                <w:sz w:val="16"/>
                <w:szCs w:val="16"/>
              </w:rPr>
            </w:pPr>
          </w:p>
        </w:tc>
        <w:tc>
          <w:tcPr>
            <w:tcW w:w="5745" w:type="dxa"/>
            <w:vMerge/>
          </w:tcPr>
          <w:p w14:paraId="79A44096" w14:textId="77777777" w:rsidR="00377D51" w:rsidRPr="00531545" w:rsidRDefault="00377D51" w:rsidP="00744056">
            <w:pPr>
              <w:jc w:val="both"/>
              <w:rPr>
                <w:sz w:val="16"/>
                <w:szCs w:val="16"/>
              </w:rPr>
            </w:pPr>
          </w:p>
        </w:tc>
      </w:tr>
      <w:tr w:rsidR="00377D51" w:rsidRPr="00531545" w14:paraId="10CD3F09"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3EB9634B" w14:textId="77777777" w:rsidR="00377D51" w:rsidRPr="00531545" w:rsidRDefault="00377D51" w:rsidP="00744056">
            <w:pPr>
              <w:rPr>
                <w:bCs/>
                <w:sz w:val="16"/>
                <w:szCs w:val="16"/>
              </w:rPr>
            </w:pPr>
            <w:r w:rsidRPr="00531545">
              <w:rPr>
                <w:bCs/>
                <w:sz w:val="16"/>
                <w:szCs w:val="16"/>
              </w:rPr>
              <w:t>C034</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69230877" w14:textId="77777777" w:rsidR="00377D51" w:rsidRPr="00531545" w:rsidRDefault="00377D51" w:rsidP="00744056">
            <w:pPr>
              <w:rPr>
                <w:sz w:val="16"/>
                <w:szCs w:val="16"/>
              </w:rPr>
            </w:pPr>
            <w:r w:rsidRPr="00531545">
              <w:rPr>
                <w:sz w:val="16"/>
                <w:szCs w:val="16"/>
              </w:rPr>
              <w:t>Odhadované ročné zníženie emisií skleníkových plynov</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00089D5E" w14:textId="77777777" w:rsidR="00377D51" w:rsidRPr="00531545" w:rsidRDefault="00377D51" w:rsidP="00744056">
            <w:pPr>
              <w:jc w:val="center"/>
              <w:rPr>
                <w:sz w:val="16"/>
                <w:szCs w:val="16"/>
              </w:rPr>
            </w:pPr>
            <w:r w:rsidRPr="00531545">
              <w:rPr>
                <w:sz w:val="16"/>
                <w:szCs w:val="16"/>
              </w:rPr>
              <w:t xml:space="preserve">t </w:t>
            </w:r>
            <w:proofErr w:type="spellStart"/>
            <w:r w:rsidRPr="00531545">
              <w:rPr>
                <w:sz w:val="16"/>
                <w:szCs w:val="16"/>
              </w:rPr>
              <w:t>ekviv</w:t>
            </w:r>
            <w:proofErr w:type="spellEnd"/>
            <w:r w:rsidRPr="00531545">
              <w:rPr>
                <w:sz w:val="16"/>
                <w:szCs w:val="16"/>
              </w:rPr>
              <w:t>. CO</w:t>
            </w:r>
            <w:r w:rsidRPr="00531545">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6589D458"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73A432D2" w14:textId="77777777" w:rsidR="00377D51" w:rsidRPr="00531545" w:rsidRDefault="00377D51" w:rsidP="00744056">
            <w:pPr>
              <w:jc w:val="center"/>
              <w:rPr>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D3E9D9E"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6631B600"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1C2004BB" w14:textId="77777777" w:rsidR="00377D51" w:rsidRPr="00531545" w:rsidRDefault="00377D51" w:rsidP="00744056">
            <w:pPr>
              <w:jc w:val="center"/>
              <w:rPr>
                <w:sz w:val="16"/>
                <w:szCs w:val="16"/>
              </w:rPr>
            </w:pPr>
            <w:r w:rsidRPr="00531545">
              <w:rPr>
                <w:sz w:val="16"/>
                <w:szCs w:val="16"/>
              </w:rPr>
              <w:t>7 783</w:t>
            </w:r>
          </w:p>
        </w:tc>
        <w:tc>
          <w:tcPr>
            <w:tcW w:w="1144" w:type="dxa"/>
            <w:vMerge w:val="restart"/>
            <w:tcBorders>
              <w:top w:val="single" w:sz="8" w:space="0" w:color="4E67C8"/>
              <w:left w:val="single" w:sz="8" w:space="0" w:color="4E67C8"/>
              <w:right w:val="single" w:sz="8" w:space="0" w:color="4E67C8"/>
            </w:tcBorders>
            <w:shd w:val="clear" w:color="auto" w:fill="auto"/>
          </w:tcPr>
          <w:p w14:paraId="13622E89" w14:textId="77777777" w:rsidR="00377D51" w:rsidRPr="00531545" w:rsidRDefault="00377D51" w:rsidP="00744056">
            <w:pPr>
              <w:jc w:val="center"/>
              <w:rPr>
                <w:sz w:val="16"/>
                <w:szCs w:val="16"/>
              </w:rPr>
            </w:pPr>
            <w:r w:rsidRPr="00531545">
              <w:rPr>
                <w:sz w:val="16"/>
                <w:szCs w:val="16"/>
              </w:rPr>
              <w:t>Monitorovací systém energetickej efektívnosti (SIEA),</w:t>
            </w:r>
          </w:p>
          <w:p w14:paraId="38A004E1" w14:textId="77777777" w:rsidR="00377D51" w:rsidRPr="00531545" w:rsidRDefault="00377D51" w:rsidP="00744056">
            <w:pPr>
              <w:jc w:val="center"/>
              <w:rPr>
                <w:sz w:val="16"/>
                <w:szCs w:val="16"/>
              </w:rPr>
            </w:pPr>
            <w:r w:rsidRPr="00531545">
              <w:rPr>
                <w:sz w:val="16"/>
                <w:szCs w:val="16"/>
              </w:rPr>
              <w:t>ITMS</w:t>
            </w:r>
            <w:r w:rsidRPr="00531545" w:rsidDel="007406E5">
              <w:rPr>
                <w:sz w:val="16"/>
                <w:szCs w:val="16"/>
              </w:rPr>
              <w:t xml:space="preserve"> </w:t>
            </w:r>
          </w:p>
        </w:tc>
        <w:tc>
          <w:tcPr>
            <w:tcW w:w="992" w:type="dxa"/>
            <w:vMerge w:val="restart"/>
            <w:tcBorders>
              <w:top w:val="single" w:sz="8" w:space="0" w:color="4E67C8"/>
              <w:left w:val="single" w:sz="8" w:space="0" w:color="4E67C8"/>
              <w:right w:val="single" w:sz="8" w:space="0" w:color="4E67C8"/>
            </w:tcBorders>
            <w:shd w:val="clear" w:color="auto" w:fill="auto"/>
          </w:tcPr>
          <w:p w14:paraId="6DE7EDAC" w14:textId="77777777" w:rsidR="00377D51" w:rsidRPr="00531545" w:rsidRDefault="00377D51" w:rsidP="00744056">
            <w:pPr>
              <w:jc w:val="center"/>
              <w:rPr>
                <w:sz w:val="16"/>
                <w:szCs w:val="16"/>
              </w:rPr>
            </w:pPr>
            <w:r w:rsidRPr="00531545">
              <w:rPr>
                <w:sz w:val="16"/>
                <w:szCs w:val="16"/>
              </w:rPr>
              <w:t>ročne</w:t>
            </w:r>
          </w:p>
        </w:tc>
        <w:tc>
          <w:tcPr>
            <w:tcW w:w="5745" w:type="dxa"/>
            <w:vMerge w:val="restart"/>
          </w:tcPr>
          <w:p w14:paraId="7595D9B1" w14:textId="77777777" w:rsidR="00377D51" w:rsidRPr="00531545" w:rsidRDefault="00377D51" w:rsidP="00744056">
            <w:pPr>
              <w:jc w:val="both"/>
              <w:rPr>
                <w:sz w:val="16"/>
                <w:szCs w:val="16"/>
              </w:rPr>
            </w:pPr>
            <w:r>
              <w:rPr>
                <w:sz w:val="16"/>
                <w:szCs w:val="16"/>
              </w:rPr>
              <w:t xml:space="preserve">Upravené hodnoty ukazovateľov zohľadňujú aktuálny dopyt v rámci realizácie podpory </w:t>
            </w:r>
            <w:r w:rsidRPr="005372EF">
              <w:rPr>
                <w:sz w:val="16"/>
                <w:szCs w:val="16"/>
              </w:rPr>
              <w:t>na zvýšenie energetickej efektívnosti bytových domov prostredníctvom poskytovania úverov na renováciu</w:t>
            </w:r>
            <w:r>
              <w:rPr>
                <w:sz w:val="16"/>
                <w:szCs w:val="16"/>
              </w:rPr>
              <w:t xml:space="preserve"> Štátnym fondom rozvoja bývania. Zároveň bola zohľadnená aktuálna situácia v oblasti stavebníctva. Bližší popis je v časti 3. d) dokumentu.</w:t>
            </w:r>
          </w:p>
        </w:tc>
      </w:tr>
      <w:tr w:rsidR="00377D51" w:rsidRPr="00531545" w14:paraId="272938E9"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CF7E6C1" w14:textId="77777777" w:rsidR="00377D51" w:rsidRPr="00531545" w:rsidRDefault="00377D51" w:rsidP="00744056">
            <w:pPr>
              <w:rPr>
                <w:bCs/>
                <w:sz w:val="16"/>
                <w:szCs w:val="16"/>
              </w:rPr>
            </w:pPr>
            <w:r w:rsidRPr="00531545">
              <w:rPr>
                <w:bCs/>
                <w:sz w:val="16"/>
                <w:szCs w:val="16"/>
              </w:rPr>
              <w:t>C034</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3D5C5394" w14:textId="77777777" w:rsidR="00377D51" w:rsidRPr="00531545" w:rsidRDefault="00377D51" w:rsidP="00744056">
            <w:pPr>
              <w:rPr>
                <w:sz w:val="16"/>
                <w:szCs w:val="16"/>
              </w:rPr>
            </w:pPr>
            <w:r w:rsidRPr="00531545">
              <w:rPr>
                <w:sz w:val="16"/>
                <w:szCs w:val="16"/>
              </w:rPr>
              <w:t>Odhadované ročné zníženie emisií skleníkových plynov</w:t>
            </w: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14:paraId="19FF29F6" w14:textId="77777777" w:rsidR="00377D51" w:rsidRPr="00531545" w:rsidRDefault="00377D51" w:rsidP="00744056">
            <w:pPr>
              <w:jc w:val="center"/>
              <w:rPr>
                <w:sz w:val="16"/>
                <w:szCs w:val="16"/>
              </w:rPr>
            </w:pPr>
            <w:r w:rsidRPr="00531545">
              <w:rPr>
                <w:sz w:val="16"/>
                <w:szCs w:val="16"/>
              </w:rPr>
              <w:t xml:space="preserve">t </w:t>
            </w:r>
            <w:proofErr w:type="spellStart"/>
            <w:r w:rsidRPr="00531545">
              <w:rPr>
                <w:sz w:val="16"/>
                <w:szCs w:val="16"/>
              </w:rPr>
              <w:t>ekviv</w:t>
            </w:r>
            <w:proofErr w:type="spellEnd"/>
            <w:r w:rsidRPr="00531545">
              <w:rPr>
                <w:sz w:val="16"/>
                <w:szCs w:val="16"/>
              </w:rPr>
              <w:t>. CO</w:t>
            </w:r>
            <w:r w:rsidRPr="00531545">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6CF989FF" w14:textId="77777777" w:rsidR="00377D51" w:rsidRPr="00531545" w:rsidRDefault="00377D51" w:rsidP="00744056">
            <w:pPr>
              <w:jc w:val="center"/>
              <w:rPr>
                <w:sz w:val="16"/>
                <w:szCs w:val="16"/>
              </w:rPr>
            </w:pPr>
            <w:r w:rsidRPr="00531545">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3C2FEE5A" w14:textId="77777777" w:rsidR="00377D51" w:rsidRPr="00531545" w:rsidRDefault="00377D51" w:rsidP="00744056">
            <w:pPr>
              <w:jc w:val="center"/>
              <w:rPr>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5D7D022" w14:textId="77777777" w:rsidR="00377D51" w:rsidRPr="00531545" w:rsidRDefault="00377D51" w:rsidP="00744056">
            <w:pPr>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3586F3D" w14:textId="77777777" w:rsidR="00377D51" w:rsidRPr="00531545" w:rsidRDefault="00377D51" w:rsidP="00744056">
            <w:pPr>
              <w:jc w:val="center"/>
              <w:rPr>
                <w:sz w:val="16"/>
                <w:szCs w:val="16"/>
              </w:rPr>
            </w:pPr>
            <w:r w:rsidRPr="00531545">
              <w:rPr>
                <w:sz w:val="16"/>
                <w:szCs w:val="16"/>
              </w:rPr>
              <w:t>N/A</w:t>
            </w:r>
          </w:p>
        </w:tc>
        <w:tc>
          <w:tcPr>
            <w:tcW w:w="1144" w:type="dxa"/>
            <w:tcBorders>
              <w:top w:val="single" w:sz="8" w:space="0" w:color="4E67C8"/>
              <w:left w:val="single" w:sz="8" w:space="0" w:color="4E67C8"/>
              <w:bottom w:val="single" w:sz="8" w:space="0" w:color="4E67C8"/>
              <w:right w:val="single" w:sz="8" w:space="0" w:color="4E67C8"/>
            </w:tcBorders>
            <w:shd w:val="clear" w:color="auto" w:fill="auto"/>
          </w:tcPr>
          <w:p w14:paraId="42B02431" w14:textId="77777777" w:rsidR="00377D51" w:rsidRPr="00531545" w:rsidRDefault="00377D51" w:rsidP="00744056">
            <w:pPr>
              <w:jc w:val="center"/>
              <w:rPr>
                <w:sz w:val="16"/>
                <w:szCs w:val="16"/>
              </w:rPr>
            </w:pPr>
            <w:r w:rsidRPr="00531545">
              <w:rPr>
                <w:sz w:val="16"/>
                <w:szCs w:val="16"/>
              </w:rPr>
              <w:t>663</w:t>
            </w:r>
          </w:p>
        </w:tc>
        <w:tc>
          <w:tcPr>
            <w:tcW w:w="1144" w:type="dxa"/>
            <w:vMerge/>
            <w:tcBorders>
              <w:left w:val="single" w:sz="8" w:space="0" w:color="4E67C8"/>
              <w:bottom w:val="single" w:sz="8" w:space="0" w:color="4E67C8"/>
              <w:right w:val="single" w:sz="8" w:space="0" w:color="4E67C8"/>
            </w:tcBorders>
            <w:shd w:val="clear" w:color="auto" w:fill="auto"/>
          </w:tcPr>
          <w:p w14:paraId="7A694C01" w14:textId="77777777" w:rsidR="00377D51" w:rsidRPr="00531545" w:rsidRDefault="00377D51" w:rsidP="00744056">
            <w:pPr>
              <w:jc w:val="center"/>
              <w:rPr>
                <w:sz w:val="16"/>
                <w:szCs w:val="16"/>
              </w:rPr>
            </w:pPr>
          </w:p>
        </w:tc>
        <w:tc>
          <w:tcPr>
            <w:tcW w:w="992" w:type="dxa"/>
            <w:vMerge/>
            <w:tcBorders>
              <w:left w:val="single" w:sz="8" w:space="0" w:color="4E67C8"/>
              <w:bottom w:val="single" w:sz="8" w:space="0" w:color="4E67C8"/>
              <w:right w:val="single" w:sz="8" w:space="0" w:color="4E67C8"/>
            </w:tcBorders>
            <w:shd w:val="clear" w:color="auto" w:fill="auto"/>
          </w:tcPr>
          <w:p w14:paraId="3495CB42" w14:textId="77777777" w:rsidR="00377D51" w:rsidRPr="006C22D0" w:rsidRDefault="00377D51" w:rsidP="00744056">
            <w:pPr>
              <w:tabs>
                <w:tab w:val="left" w:pos="590"/>
              </w:tabs>
              <w:rPr>
                <w:sz w:val="16"/>
                <w:szCs w:val="16"/>
              </w:rPr>
            </w:pPr>
          </w:p>
        </w:tc>
        <w:tc>
          <w:tcPr>
            <w:tcW w:w="5745" w:type="dxa"/>
            <w:vMerge/>
          </w:tcPr>
          <w:p w14:paraId="71A3776B" w14:textId="77777777" w:rsidR="00377D51" w:rsidRPr="00531545" w:rsidRDefault="00377D51" w:rsidP="00744056">
            <w:pPr>
              <w:jc w:val="both"/>
              <w:rPr>
                <w:sz w:val="16"/>
                <w:szCs w:val="16"/>
              </w:rPr>
            </w:pPr>
          </w:p>
        </w:tc>
      </w:tr>
    </w:tbl>
    <w:p w14:paraId="737911FE" w14:textId="77777777" w:rsidR="00377D51" w:rsidRDefault="00377D51" w:rsidP="00377D51">
      <w:pPr>
        <w:spacing w:before="80" w:after="80" w:line="245" w:lineRule="auto"/>
        <w:jc w:val="both"/>
        <w:rPr>
          <w:rFonts w:ascii="Arial Narrow" w:hAnsi="Arial Narrow"/>
          <w:color w:val="000000"/>
        </w:rPr>
      </w:pPr>
    </w:p>
    <w:p w14:paraId="06B424D4" w14:textId="77777777" w:rsidR="00377D51" w:rsidRDefault="00377D51" w:rsidP="00377D51">
      <w:pPr>
        <w:rPr>
          <w:rFonts w:ascii="Arial Narrow" w:hAnsi="Arial Narrow"/>
          <w:color w:val="000000"/>
        </w:rPr>
      </w:pPr>
      <w:r>
        <w:rPr>
          <w:rFonts w:ascii="Arial Narrow" w:hAnsi="Arial Narrow"/>
          <w:color w:val="000000"/>
        </w:rPr>
        <w:br w:type="page"/>
      </w:r>
    </w:p>
    <w:p w14:paraId="340AD322" w14:textId="77777777" w:rsidR="000A5DBD" w:rsidRDefault="000A5DBD" w:rsidP="00377D51">
      <w:pPr>
        <w:spacing w:before="80" w:after="80" w:line="245" w:lineRule="auto"/>
        <w:jc w:val="both"/>
        <w:rPr>
          <w:rFonts w:ascii="Arial Narrow" w:hAnsi="Arial Narrow"/>
          <w:color w:val="000000"/>
        </w:rPr>
      </w:pPr>
    </w:p>
    <w:p w14:paraId="4AC1800E" w14:textId="4F98CD5A" w:rsidR="00377D51" w:rsidRPr="00E60D12" w:rsidRDefault="00377D51" w:rsidP="00377D51">
      <w:pPr>
        <w:spacing w:before="80" w:after="80" w:line="245" w:lineRule="auto"/>
        <w:jc w:val="both"/>
        <w:rPr>
          <w:rFonts w:ascii="Arial Narrow" w:hAnsi="Arial Narrow"/>
          <w:color w:val="000000"/>
        </w:rPr>
      </w:pPr>
      <w:r w:rsidRPr="00531545">
        <w:rPr>
          <w:rFonts w:ascii="Arial Narrow" w:hAnsi="Arial Narrow"/>
          <w:color w:val="000000"/>
        </w:rPr>
        <w:t xml:space="preserve">Špecifický cieľ 5.1.1.: </w:t>
      </w:r>
      <w:r w:rsidRPr="00E60D12">
        <w:rPr>
          <w:rFonts w:ascii="Arial Narrow" w:hAnsi="Arial Narrow"/>
          <w:color w:val="000000"/>
        </w:rPr>
        <w:t xml:space="preserve">Zvýšenie zamestnanosti na miestnej úrovni podporou podnikania a inovácií </w:t>
      </w:r>
    </w:p>
    <w:p w14:paraId="7C5A6D4D" w14:textId="77777777" w:rsidR="00377D51" w:rsidRPr="00531545" w:rsidRDefault="00377D51" w:rsidP="00377D51">
      <w:pPr>
        <w:spacing w:before="80" w:after="80" w:line="245" w:lineRule="auto"/>
        <w:jc w:val="both"/>
        <w:rPr>
          <w:rFonts w:ascii="Arial Narrow" w:hAnsi="Arial Narrow"/>
          <w:color w:val="000000"/>
        </w:rPr>
      </w:pPr>
    </w:p>
    <w:tbl>
      <w:tblPr>
        <w:tblW w:w="15101" w:type="dxa"/>
        <w:tblInd w:w="-15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57" w:type="dxa"/>
        </w:tblCellMar>
        <w:tblLook w:val="04A0" w:firstRow="1" w:lastRow="0" w:firstColumn="1" w:lastColumn="0" w:noHBand="0" w:noVBand="1"/>
      </w:tblPr>
      <w:tblGrid>
        <w:gridCol w:w="699"/>
        <w:gridCol w:w="1910"/>
        <w:gridCol w:w="992"/>
        <w:gridCol w:w="709"/>
        <w:gridCol w:w="1361"/>
        <w:gridCol w:w="567"/>
        <w:gridCol w:w="567"/>
        <w:gridCol w:w="850"/>
        <w:gridCol w:w="709"/>
        <w:gridCol w:w="992"/>
        <w:gridCol w:w="5745"/>
      </w:tblGrid>
      <w:tr w:rsidR="00377D51" w:rsidRPr="00531545" w14:paraId="64F280BA" w14:textId="77777777" w:rsidTr="00744056">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34202978" w14:textId="77777777" w:rsidR="00377D51" w:rsidRPr="00531545" w:rsidRDefault="00377D51" w:rsidP="00744056">
            <w:pPr>
              <w:spacing w:before="40" w:after="40" w:line="245" w:lineRule="auto"/>
              <w:jc w:val="center"/>
              <w:rPr>
                <w:b/>
                <w:bCs/>
                <w:sz w:val="16"/>
                <w:szCs w:val="16"/>
              </w:rPr>
            </w:pPr>
            <w:r w:rsidRPr="00531545">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50E3BC3B" w14:textId="77777777" w:rsidR="00377D51" w:rsidRPr="00531545" w:rsidRDefault="00377D51" w:rsidP="00744056">
            <w:pPr>
              <w:spacing w:before="40" w:after="40" w:line="245" w:lineRule="auto"/>
              <w:jc w:val="center"/>
              <w:rPr>
                <w:b/>
                <w:bCs/>
                <w:sz w:val="16"/>
                <w:szCs w:val="16"/>
              </w:rPr>
            </w:pPr>
            <w:r w:rsidRPr="00531545">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4BB902E4" w14:textId="77777777" w:rsidR="00377D51" w:rsidRPr="00531545" w:rsidRDefault="00377D51" w:rsidP="00744056">
            <w:pPr>
              <w:spacing w:before="40" w:after="40" w:line="245" w:lineRule="auto"/>
              <w:jc w:val="center"/>
              <w:rPr>
                <w:b/>
                <w:bCs/>
                <w:sz w:val="16"/>
                <w:szCs w:val="16"/>
              </w:rPr>
            </w:pPr>
            <w:r w:rsidRPr="00531545">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13B0CE68" w14:textId="77777777" w:rsidR="00377D51" w:rsidRPr="00531545" w:rsidRDefault="00377D51" w:rsidP="00744056">
            <w:pPr>
              <w:spacing w:before="40" w:after="40" w:line="245" w:lineRule="auto"/>
              <w:jc w:val="center"/>
              <w:rPr>
                <w:b/>
                <w:bCs/>
                <w:sz w:val="16"/>
                <w:szCs w:val="16"/>
              </w:rPr>
            </w:pPr>
            <w:r w:rsidRPr="00531545">
              <w:rPr>
                <w:b/>
                <w:bCs/>
                <w:sz w:val="16"/>
                <w:szCs w:val="16"/>
              </w:rPr>
              <w:t>Fond</w:t>
            </w:r>
          </w:p>
        </w:tc>
        <w:tc>
          <w:tcPr>
            <w:tcW w:w="1361" w:type="dxa"/>
            <w:vMerge w:val="restart"/>
            <w:tcBorders>
              <w:top w:val="single" w:sz="8" w:space="0" w:color="4E67C8"/>
              <w:left w:val="single" w:sz="8" w:space="0" w:color="4E67C8"/>
              <w:right w:val="single" w:sz="8" w:space="0" w:color="4E67C8"/>
            </w:tcBorders>
            <w:shd w:val="clear" w:color="auto" w:fill="auto"/>
            <w:vAlign w:val="center"/>
          </w:tcPr>
          <w:p w14:paraId="00EB1CA4" w14:textId="77777777" w:rsidR="00377D51" w:rsidRPr="00531545" w:rsidRDefault="00377D51" w:rsidP="00744056">
            <w:pPr>
              <w:spacing w:before="40" w:after="40" w:line="245" w:lineRule="auto"/>
              <w:jc w:val="center"/>
              <w:rPr>
                <w:b/>
                <w:bCs/>
                <w:sz w:val="16"/>
                <w:szCs w:val="16"/>
              </w:rPr>
            </w:pPr>
            <w:r w:rsidRPr="00531545">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56B65D2C" w14:textId="77777777" w:rsidR="00377D51" w:rsidRPr="00531545" w:rsidRDefault="00377D51" w:rsidP="00744056">
            <w:pPr>
              <w:spacing w:before="40" w:after="40" w:line="245" w:lineRule="auto"/>
              <w:jc w:val="center"/>
              <w:rPr>
                <w:b/>
                <w:bCs/>
                <w:sz w:val="16"/>
                <w:szCs w:val="16"/>
              </w:rPr>
            </w:pPr>
            <w:r w:rsidRPr="00531545">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2D215786" w14:textId="77777777" w:rsidR="00377D51" w:rsidRPr="00531545" w:rsidRDefault="00377D51" w:rsidP="00744056">
            <w:pPr>
              <w:spacing w:before="40" w:after="40" w:line="245" w:lineRule="auto"/>
              <w:jc w:val="center"/>
              <w:rPr>
                <w:b/>
                <w:bCs/>
                <w:sz w:val="16"/>
                <w:szCs w:val="16"/>
              </w:rPr>
            </w:pPr>
            <w:r w:rsidRPr="00531545">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73277C41" w14:textId="77777777" w:rsidR="00377D51" w:rsidRPr="00531545" w:rsidRDefault="00377D51" w:rsidP="00744056">
            <w:pPr>
              <w:spacing w:before="40" w:after="40" w:line="245" w:lineRule="auto"/>
              <w:jc w:val="center"/>
              <w:rPr>
                <w:b/>
                <w:bCs/>
                <w:sz w:val="16"/>
                <w:szCs w:val="16"/>
              </w:rPr>
            </w:pPr>
            <w:r w:rsidRPr="00531545">
              <w:rPr>
                <w:b/>
                <w:bCs/>
                <w:sz w:val="16"/>
                <w:szCs w:val="16"/>
              </w:rPr>
              <w:t>Frekvencia podávania správ</w:t>
            </w:r>
          </w:p>
        </w:tc>
        <w:tc>
          <w:tcPr>
            <w:tcW w:w="5745" w:type="dxa"/>
            <w:vMerge w:val="restart"/>
            <w:tcBorders>
              <w:top w:val="single" w:sz="8" w:space="0" w:color="4E67C8"/>
              <w:left w:val="single" w:sz="8" w:space="0" w:color="4E67C8"/>
              <w:right w:val="single" w:sz="8" w:space="0" w:color="4E67C8"/>
            </w:tcBorders>
            <w:vAlign w:val="center"/>
          </w:tcPr>
          <w:p w14:paraId="4CD6BBE1" w14:textId="77777777" w:rsidR="00377D51" w:rsidRPr="00531545" w:rsidRDefault="00377D51" w:rsidP="00744056">
            <w:pPr>
              <w:spacing w:before="40" w:after="40" w:line="245" w:lineRule="auto"/>
              <w:jc w:val="center"/>
              <w:rPr>
                <w:b/>
                <w:bCs/>
                <w:sz w:val="16"/>
                <w:szCs w:val="16"/>
              </w:rPr>
            </w:pPr>
            <w:r w:rsidRPr="00531545">
              <w:rPr>
                <w:b/>
                <w:bCs/>
                <w:sz w:val="16"/>
                <w:szCs w:val="16"/>
              </w:rPr>
              <w:t>Zdôvodnenie zmeny cieľovej hodnoty ukazovateľa</w:t>
            </w:r>
          </w:p>
        </w:tc>
      </w:tr>
      <w:tr w:rsidR="00377D51" w:rsidRPr="00531545" w14:paraId="62A152DC" w14:textId="77777777" w:rsidTr="00744056">
        <w:trPr>
          <w:trHeight w:val="397"/>
        </w:trPr>
        <w:tc>
          <w:tcPr>
            <w:tcW w:w="699" w:type="dxa"/>
            <w:vMerge/>
            <w:tcBorders>
              <w:left w:val="single" w:sz="8" w:space="0" w:color="4E67C8"/>
              <w:bottom w:val="single" w:sz="18" w:space="0" w:color="4E67C8"/>
              <w:right w:val="single" w:sz="8" w:space="0" w:color="4E67C8"/>
            </w:tcBorders>
            <w:shd w:val="clear" w:color="auto" w:fill="auto"/>
          </w:tcPr>
          <w:p w14:paraId="46413F2E" w14:textId="77777777" w:rsidR="00377D51" w:rsidRPr="00531545" w:rsidRDefault="00377D51" w:rsidP="00744056">
            <w:pPr>
              <w:spacing w:before="40" w:after="40" w:line="245" w:lineRule="auto"/>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02198DC" w14:textId="77777777" w:rsidR="00377D51" w:rsidRPr="00531545" w:rsidRDefault="00377D51" w:rsidP="00744056">
            <w:pPr>
              <w:spacing w:before="40" w:after="40" w:line="245" w:lineRule="auto"/>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33F1FEE6" w14:textId="77777777" w:rsidR="00377D51" w:rsidRPr="00531545" w:rsidRDefault="00377D51" w:rsidP="00744056">
            <w:pPr>
              <w:spacing w:before="40" w:after="40" w:line="245" w:lineRule="auto"/>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65CC8243" w14:textId="77777777" w:rsidR="00377D51" w:rsidRPr="00531545" w:rsidRDefault="00377D51" w:rsidP="00744056">
            <w:pPr>
              <w:spacing w:before="40" w:after="40" w:line="245" w:lineRule="auto"/>
              <w:rPr>
                <w:b/>
                <w:bCs/>
                <w:sz w:val="16"/>
                <w:szCs w:val="16"/>
              </w:rPr>
            </w:pPr>
          </w:p>
        </w:tc>
        <w:tc>
          <w:tcPr>
            <w:tcW w:w="1361" w:type="dxa"/>
            <w:vMerge/>
            <w:tcBorders>
              <w:left w:val="single" w:sz="8" w:space="0" w:color="4E67C8"/>
              <w:bottom w:val="single" w:sz="18" w:space="0" w:color="4E67C8"/>
              <w:right w:val="single" w:sz="8" w:space="0" w:color="4E67C8"/>
            </w:tcBorders>
            <w:shd w:val="clear" w:color="auto" w:fill="auto"/>
          </w:tcPr>
          <w:p w14:paraId="71AE33D5" w14:textId="77777777" w:rsidR="00377D51" w:rsidRPr="00531545" w:rsidRDefault="00377D51" w:rsidP="00744056">
            <w:pPr>
              <w:spacing w:before="40" w:after="40" w:line="245" w:lineRule="auto"/>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3075702" w14:textId="77777777" w:rsidR="00377D51" w:rsidRPr="00531545" w:rsidRDefault="00377D51" w:rsidP="00744056">
            <w:pPr>
              <w:spacing w:before="40" w:after="40" w:line="245" w:lineRule="auto"/>
              <w:jc w:val="center"/>
              <w:rPr>
                <w:b/>
                <w:bCs/>
                <w:sz w:val="16"/>
                <w:szCs w:val="16"/>
              </w:rPr>
            </w:pPr>
            <w:r w:rsidRPr="00531545">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BA1BF79" w14:textId="77777777" w:rsidR="00377D51" w:rsidRPr="00531545" w:rsidRDefault="00377D51" w:rsidP="00744056">
            <w:pPr>
              <w:spacing w:before="40" w:after="40" w:line="245" w:lineRule="auto"/>
              <w:jc w:val="center"/>
              <w:rPr>
                <w:b/>
                <w:bCs/>
                <w:sz w:val="16"/>
                <w:szCs w:val="16"/>
              </w:rPr>
            </w:pPr>
            <w:r w:rsidRPr="00531545">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73B2CF8" w14:textId="77777777" w:rsidR="00377D51" w:rsidRPr="00531545" w:rsidRDefault="00377D51" w:rsidP="00744056">
            <w:pPr>
              <w:spacing w:before="40" w:after="40" w:line="245" w:lineRule="auto"/>
              <w:jc w:val="center"/>
              <w:rPr>
                <w:b/>
                <w:bCs/>
                <w:sz w:val="16"/>
                <w:szCs w:val="16"/>
              </w:rPr>
            </w:pPr>
            <w:r w:rsidRPr="00531545">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1438FFC9" w14:textId="77777777" w:rsidR="00377D51" w:rsidRPr="00531545" w:rsidRDefault="00377D51" w:rsidP="00744056">
            <w:pPr>
              <w:spacing w:before="40" w:after="40" w:line="245" w:lineRule="auto"/>
              <w:rPr>
                <w:b/>
                <w:bCs/>
                <w:sz w:val="16"/>
                <w:szCs w:val="16"/>
              </w:rPr>
            </w:pPr>
          </w:p>
        </w:tc>
        <w:tc>
          <w:tcPr>
            <w:tcW w:w="992" w:type="dxa"/>
            <w:vMerge/>
            <w:tcBorders>
              <w:left w:val="single" w:sz="8" w:space="0" w:color="4E67C8"/>
              <w:bottom w:val="single" w:sz="18" w:space="0" w:color="4E67C8"/>
              <w:right w:val="single" w:sz="8" w:space="0" w:color="4E67C8"/>
            </w:tcBorders>
          </w:tcPr>
          <w:p w14:paraId="69B985C1" w14:textId="77777777" w:rsidR="00377D51" w:rsidRPr="00531545" w:rsidRDefault="00377D51" w:rsidP="00744056">
            <w:pPr>
              <w:spacing w:before="40" w:after="40" w:line="245" w:lineRule="auto"/>
              <w:rPr>
                <w:b/>
                <w:bCs/>
                <w:sz w:val="16"/>
                <w:szCs w:val="16"/>
              </w:rPr>
            </w:pPr>
          </w:p>
        </w:tc>
        <w:tc>
          <w:tcPr>
            <w:tcW w:w="5745" w:type="dxa"/>
            <w:vMerge/>
            <w:tcBorders>
              <w:left w:val="single" w:sz="8" w:space="0" w:color="4E67C8"/>
              <w:bottom w:val="single" w:sz="18" w:space="0" w:color="4E67C8"/>
              <w:right w:val="single" w:sz="8" w:space="0" w:color="4E67C8"/>
            </w:tcBorders>
          </w:tcPr>
          <w:p w14:paraId="0D4D1EC0" w14:textId="77777777" w:rsidR="00377D51" w:rsidRPr="00531545" w:rsidRDefault="00377D51" w:rsidP="00744056">
            <w:pPr>
              <w:spacing w:before="40" w:after="40" w:line="245" w:lineRule="auto"/>
              <w:rPr>
                <w:b/>
                <w:bCs/>
                <w:sz w:val="16"/>
                <w:szCs w:val="16"/>
              </w:rPr>
            </w:pPr>
          </w:p>
        </w:tc>
      </w:tr>
      <w:tr w:rsidR="00377D51" w:rsidRPr="00531545" w14:paraId="2705E628"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1F4BB14" w14:textId="77777777" w:rsidR="00377D51" w:rsidRPr="00531545" w:rsidRDefault="00377D51" w:rsidP="00744056">
            <w:pPr>
              <w:spacing w:before="40" w:after="40" w:line="245" w:lineRule="auto"/>
              <w:rPr>
                <w:sz w:val="16"/>
                <w:szCs w:val="16"/>
              </w:rPr>
            </w:pPr>
            <w:r w:rsidRPr="00531545">
              <w:rPr>
                <w:bCs/>
                <w:sz w:val="16"/>
                <w:szCs w:val="16"/>
              </w:rPr>
              <w:t>CO01</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04B9E375" w14:textId="77777777" w:rsidR="00377D51" w:rsidRPr="00531545" w:rsidRDefault="00377D51" w:rsidP="00744056">
            <w:pPr>
              <w:spacing w:before="40" w:after="40" w:line="245" w:lineRule="auto"/>
              <w:rPr>
                <w:sz w:val="16"/>
                <w:szCs w:val="16"/>
              </w:rPr>
            </w:pPr>
            <w:r w:rsidRPr="00531545">
              <w:rPr>
                <w:sz w:val="16"/>
                <w:szCs w:val="16"/>
              </w:rPr>
              <w:t>Počet podporených podnikov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6A57B646" w14:textId="77777777" w:rsidR="00377D51" w:rsidRPr="00531545" w:rsidRDefault="00377D51" w:rsidP="00744056">
            <w:pPr>
              <w:spacing w:before="40" w:after="40" w:line="245" w:lineRule="auto"/>
              <w:jc w:val="center"/>
              <w:rPr>
                <w:bCs/>
                <w:sz w:val="16"/>
                <w:szCs w:val="16"/>
              </w:rPr>
            </w:pPr>
            <w:r w:rsidRPr="00531545">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41F8932A" w14:textId="77777777" w:rsidR="00377D51" w:rsidRPr="00531545" w:rsidRDefault="00377D51" w:rsidP="00744056">
            <w:pPr>
              <w:spacing w:before="40" w:after="40" w:line="245" w:lineRule="auto"/>
              <w:jc w:val="center"/>
              <w:rPr>
                <w:sz w:val="16"/>
                <w:szCs w:val="16"/>
              </w:rPr>
            </w:pPr>
            <w:r w:rsidRPr="00531545">
              <w:rPr>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78329622" w14:textId="77777777" w:rsidR="00377D51" w:rsidRPr="00531545" w:rsidRDefault="00377D51" w:rsidP="00744056">
            <w:pPr>
              <w:spacing w:before="40" w:after="40" w:line="245" w:lineRule="auto"/>
              <w:jc w:val="center"/>
              <w:rPr>
                <w:bCs/>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7B69B6D"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3756EDA"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0B2A7B43" w14:textId="77777777" w:rsidR="00377D51" w:rsidRPr="00531545" w:rsidDel="00967649" w:rsidRDefault="00377D51" w:rsidP="00744056">
            <w:pPr>
              <w:spacing w:before="40" w:after="40" w:line="245" w:lineRule="auto"/>
              <w:jc w:val="center"/>
              <w:rPr>
                <w:sz w:val="16"/>
                <w:szCs w:val="16"/>
              </w:rPr>
            </w:pPr>
            <w:r w:rsidRPr="00531545">
              <w:rPr>
                <w:sz w:val="16"/>
                <w:szCs w:val="16"/>
              </w:rPr>
              <w:t>100</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7C7798D" w14:textId="77777777" w:rsidR="00377D51" w:rsidRPr="00531545" w:rsidRDefault="00377D51" w:rsidP="00744056">
            <w:pPr>
              <w:spacing w:before="40" w:after="40" w:line="245" w:lineRule="auto"/>
              <w:jc w:val="center"/>
              <w:rPr>
                <w:sz w:val="16"/>
                <w:szCs w:val="16"/>
              </w:rPr>
            </w:pPr>
            <w:r w:rsidRPr="00531545">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3A8F099D" w14:textId="77777777" w:rsidR="00377D51" w:rsidRPr="00531545" w:rsidRDefault="00377D51" w:rsidP="00744056">
            <w:pPr>
              <w:spacing w:before="40" w:after="40" w:line="245" w:lineRule="auto"/>
              <w:jc w:val="center"/>
              <w:rPr>
                <w:bCs/>
                <w:sz w:val="16"/>
                <w:szCs w:val="16"/>
              </w:rPr>
            </w:pPr>
            <w:r w:rsidRPr="00531545">
              <w:rPr>
                <w:sz w:val="16"/>
                <w:szCs w:val="16"/>
              </w:rPr>
              <w:t>ročne</w:t>
            </w:r>
          </w:p>
        </w:tc>
        <w:tc>
          <w:tcPr>
            <w:tcW w:w="5745" w:type="dxa"/>
            <w:vMerge w:val="restart"/>
          </w:tcPr>
          <w:p w14:paraId="1C709B63" w14:textId="77777777" w:rsidR="00377D51" w:rsidRPr="00531545" w:rsidRDefault="00377D51" w:rsidP="00744056">
            <w:pPr>
              <w:pStyle w:val="Odsekzoznamu"/>
              <w:spacing w:before="40" w:after="40" w:line="245" w:lineRule="auto"/>
              <w:ind w:left="24"/>
              <w:contextualSpacing w:val="0"/>
              <w:jc w:val="both"/>
              <w:rPr>
                <w:rFonts w:ascii="Arial" w:hAnsi="Arial" w:cs="Arial"/>
                <w:sz w:val="16"/>
                <w:szCs w:val="16"/>
              </w:rPr>
            </w:pPr>
            <w:r w:rsidRPr="00531545">
              <w:rPr>
                <w:rFonts w:ascii="Arial" w:hAnsi="Arial" w:cs="Arial"/>
                <w:sz w:val="16"/>
                <w:szCs w:val="16"/>
              </w:rPr>
              <w:t>COVID-19 spôsobil najmä vo vidieckych územiach obrovské problémy so zamestnanosťou. Väčšina MAS hlási vážne problémy zo strany podnikateľov o zapojenie sa do vyhlásených výziev a to z dôvodu, že sú prísne nastavené podmienky vzniku pracovných miest. Každý projekt musí generovať nejaké pracovné miesto a to za relatívne nízky objem peňazí. RO pre IROP sa snaží ako jeden z nástrojov na oživenie regiónov a podporu podnikateľského prostredia zmierniť tieto požiadavky a to tak, aby boli žiadatelia motivovaní zapájať sa do predmetných výziev.</w:t>
            </w:r>
          </w:p>
        </w:tc>
      </w:tr>
      <w:tr w:rsidR="00377D51" w:rsidRPr="00531545" w14:paraId="4301CC3C"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285B410F" w14:textId="77777777" w:rsidR="00377D51" w:rsidRPr="00531545" w:rsidRDefault="00377D51" w:rsidP="00744056">
            <w:pPr>
              <w:spacing w:before="40" w:after="40" w:line="245" w:lineRule="auto"/>
              <w:rPr>
                <w:sz w:val="16"/>
                <w:szCs w:val="16"/>
              </w:rPr>
            </w:pPr>
            <w:r w:rsidRPr="00531545">
              <w:rPr>
                <w:bCs/>
                <w:sz w:val="16"/>
                <w:szCs w:val="16"/>
              </w:rPr>
              <w:t>CO01</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4FDB9C96" w14:textId="77777777" w:rsidR="00377D51" w:rsidRPr="00531545" w:rsidRDefault="00377D51" w:rsidP="00744056">
            <w:pPr>
              <w:spacing w:before="40" w:after="40" w:line="245" w:lineRule="auto"/>
              <w:rPr>
                <w:sz w:val="16"/>
                <w:szCs w:val="16"/>
              </w:rPr>
            </w:pPr>
            <w:r w:rsidRPr="00531545">
              <w:rPr>
                <w:sz w:val="16"/>
                <w:szCs w:val="16"/>
              </w:rPr>
              <w:t>Počet podporených podnikov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371312EA" w14:textId="77777777" w:rsidR="00377D51" w:rsidRPr="00531545" w:rsidRDefault="00377D51" w:rsidP="00744056">
            <w:pPr>
              <w:spacing w:before="40" w:after="40" w:line="245" w:lineRule="auto"/>
              <w:jc w:val="center"/>
              <w:rPr>
                <w:bCs/>
                <w:sz w:val="16"/>
                <w:szCs w:val="16"/>
              </w:rPr>
            </w:pPr>
            <w:r w:rsidRPr="00531545">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1C96E7A" w14:textId="77777777" w:rsidR="00377D51" w:rsidRPr="00531545" w:rsidRDefault="00377D51" w:rsidP="00744056">
            <w:pPr>
              <w:spacing w:before="40" w:after="40" w:line="245" w:lineRule="auto"/>
              <w:jc w:val="center"/>
              <w:rPr>
                <w:sz w:val="16"/>
                <w:szCs w:val="16"/>
              </w:rPr>
            </w:pPr>
            <w:r w:rsidRPr="00531545">
              <w:rPr>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57A0257F" w14:textId="77777777" w:rsidR="00377D51" w:rsidRPr="00531545" w:rsidRDefault="00377D51" w:rsidP="00744056">
            <w:pPr>
              <w:spacing w:before="40" w:after="40" w:line="245" w:lineRule="auto"/>
              <w:jc w:val="center"/>
              <w:rPr>
                <w:bCs/>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5CB579F"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54ED4A79"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2E4EEA63" w14:textId="77777777" w:rsidR="00377D51" w:rsidRPr="00531545" w:rsidDel="00967649" w:rsidRDefault="00377D51" w:rsidP="00744056">
            <w:pPr>
              <w:spacing w:before="40" w:after="40" w:line="245" w:lineRule="auto"/>
              <w:jc w:val="center"/>
              <w:rPr>
                <w:sz w:val="16"/>
                <w:szCs w:val="16"/>
              </w:rPr>
            </w:pPr>
            <w:r w:rsidRPr="00531545">
              <w:rPr>
                <w:sz w:val="16"/>
                <w:szCs w:val="16"/>
              </w:rPr>
              <w:t>4</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2482970E" w14:textId="77777777" w:rsidR="00377D51" w:rsidRPr="00531545" w:rsidRDefault="00377D51" w:rsidP="00744056">
            <w:pPr>
              <w:spacing w:before="40" w:after="40" w:line="245" w:lineRule="auto"/>
              <w:jc w:val="center"/>
              <w:rPr>
                <w:sz w:val="16"/>
                <w:szCs w:val="16"/>
              </w:rPr>
            </w:pPr>
            <w:r w:rsidRPr="00531545">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40E9CBAD" w14:textId="77777777" w:rsidR="00377D51" w:rsidRPr="00531545" w:rsidRDefault="00377D51" w:rsidP="00744056">
            <w:pPr>
              <w:spacing w:before="40" w:after="40" w:line="245" w:lineRule="auto"/>
              <w:jc w:val="center"/>
              <w:rPr>
                <w:bCs/>
                <w:sz w:val="16"/>
                <w:szCs w:val="16"/>
              </w:rPr>
            </w:pPr>
            <w:r w:rsidRPr="00531545">
              <w:rPr>
                <w:sz w:val="16"/>
                <w:szCs w:val="16"/>
              </w:rPr>
              <w:t>ročne</w:t>
            </w:r>
          </w:p>
        </w:tc>
        <w:tc>
          <w:tcPr>
            <w:tcW w:w="5745" w:type="dxa"/>
            <w:vMerge/>
          </w:tcPr>
          <w:p w14:paraId="643792A6" w14:textId="77777777" w:rsidR="00377D51" w:rsidRPr="00531545" w:rsidRDefault="00377D51" w:rsidP="00744056">
            <w:pPr>
              <w:pStyle w:val="Odsekzoznamu"/>
              <w:spacing w:before="40" w:after="40" w:line="245" w:lineRule="auto"/>
              <w:ind w:left="24"/>
              <w:contextualSpacing w:val="0"/>
              <w:jc w:val="both"/>
              <w:rPr>
                <w:rFonts w:ascii="Arial" w:hAnsi="Arial" w:cs="Arial"/>
                <w:sz w:val="16"/>
                <w:szCs w:val="16"/>
              </w:rPr>
            </w:pPr>
          </w:p>
        </w:tc>
      </w:tr>
      <w:tr w:rsidR="00377D51" w:rsidRPr="00531545" w14:paraId="45050628"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37050326" w14:textId="77777777" w:rsidR="00377D51" w:rsidRPr="00531545" w:rsidRDefault="00377D51" w:rsidP="00744056">
            <w:pPr>
              <w:spacing w:before="40" w:after="40" w:line="245" w:lineRule="auto"/>
              <w:rPr>
                <w:sz w:val="16"/>
                <w:szCs w:val="16"/>
              </w:rPr>
            </w:pPr>
            <w:r w:rsidRPr="00531545">
              <w:rPr>
                <w:bCs/>
                <w:sz w:val="16"/>
                <w:szCs w:val="16"/>
              </w:rPr>
              <w:t>CO08</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56568B1D" w14:textId="77777777" w:rsidR="00377D51" w:rsidRPr="00531545" w:rsidRDefault="00377D51" w:rsidP="00744056">
            <w:pPr>
              <w:spacing w:before="40" w:after="40" w:line="245" w:lineRule="auto"/>
              <w:rPr>
                <w:sz w:val="16"/>
                <w:szCs w:val="16"/>
              </w:rPr>
            </w:pPr>
            <w:r w:rsidRPr="00531545">
              <w:rPr>
                <w:sz w:val="16"/>
                <w:szCs w:val="16"/>
              </w:rPr>
              <w:t>Zamestnanosť v podporených podnikoch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5123CE39" w14:textId="77777777" w:rsidR="00377D51" w:rsidRPr="00531545" w:rsidRDefault="00377D51" w:rsidP="00744056">
            <w:pPr>
              <w:spacing w:before="40" w:after="40" w:line="245" w:lineRule="auto"/>
              <w:jc w:val="center"/>
              <w:rPr>
                <w:bCs/>
                <w:sz w:val="16"/>
                <w:szCs w:val="16"/>
              </w:rPr>
            </w:pPr>
            <w:proofErr w:type="spellStart"/>
            <w:r w:rsidRPr="00531545">
              <w:rPr>
                <w:sz w:val="16"/>
                <w:szCs w:val="16"/>
              </w:rPr>
              <w:t>FTEs</w:t>
            </w:r>
            <w:proofErr w:type="spellEnd"/>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65AB2FC1" w14:textId="77777777" w:rsidR="00377D51" w:rsidRPr="00531545" w:rsidRDefault="00377D51" w:rsidP="00744056">
            <w:pPr>
              <w:spacing w:before="40" w:after="40" w:line="245" w:lineRule="auto"/>
              <w:jc w:val="center"/>
              <w:rPr>
                <w:sz w:val="16"/>
                <w:szCs w:val="16"/>
              </w:rPr>
            </w:pPr>
            <w:r w:rsidRPr="00531545">
              <w:rPr>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7353F127" w14:textId="77777777" w:rsidR="00377D51" w:rsidRPr="00531545" w:rsidRDefault="00377D51" w:rsidP="00744056">
            <w:pPr>
              <w:spacing w:before="40" w:after="40" w:line="245" w:lineRule="auto"/>
              <w:jc w:val="center"/>
              <w:rPr>
                <w:bCs/>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657508A"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0EB9A337"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02B729CF" w14:textId="77777777" w:rsidR="00377D51" w:rsidRPr="00531545" w:rsidDel="00967649" w:rsidRDefault="00377D51" w:rsidP="00744056">
            <w:pPr>
              <w:spacing w:before="40" w:after="40" w:line="245" w:lineRule="auto"/>
              <w:jc w:val="center"/>
              <w:rPr>
                <w:sz w:val="16"/>
                <w:szCs w:val="16"/>
              </w:rPr>
            </w:pPr>
            <w:r w:rsidRPr="00531545">
              <w:rPr>
                <w:sz w:val="16"/>
                <w:szCs w:val="16"/>
              </w:rPr>
              <w:t>100</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47CB9FD9" w14:textId="77777777" w:rsidR="00377D51" w:rsidRPr="00531545" w:rsidRDefault="00377D51" w:rsidP="00744056">
            <w:pPr>
              <w:spacing w:before="40" w:after="40" w:line="245" w:lineRule="auto"/>
              <w:jc w:val="center"/>
              <w:rPr>
                <w:sz w:val="16"/>
                <w:szCs w:val="16"/>
              </w:rPr>
            </w:pPr>
            <w:r w:rsidRPr="00531545">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69C023C5" w14:textId="77777777" w:rsidR="00377D51" w:rsidRPr="00531545" w:rsidRDefault="00377D51" w:rsidP="00744056">
            <w:pPr>
              <w:spacing w:before="40" w:after="40" w:line="245" w:lineRule="auto"/>
              <w:jc w:val="center"/>
              <w:rPr>
                <w:bCs/>
                <w:sz w:val="16"/>
                <w:szCs w:val="16"/>
              </w:rPr>
            </w:pPr>
            <w:r w:rsidRPr="00531545">
              <w:rPr>
                <w:sz w:val="16"/>
                <w:szCs w:val="16"/>
              </w:rPr>
              <w:t>ročne</w:t>
            </w:r>
          </w:p>
        </w:tc>
        <w:tc>
          <w:tcPr>
            <w:tcW w:w="5745" w:type="dxa"/>
            <w:vMerge w:val="restart"/>
          </w:tcPr>
          <w:p w14:paraId="0B29288B" w14:textId="77777777" w:rsidR="00377D51" w:rsidRPr="00531545" w:rsidRDefault="00377D51" w:rsidP="00744056">
            <w:pPr>
              <w:pStyle w:val="Odsekzoznamu"/>
              <w:spacing w:before="40" w:after="40" w:line="245" w:lineRule="auto"/>
              <w:ind w:left="24"/>
              <w:contextualSpacing w:val="0"/>
              <w:jc w:val="both"/>
              <w:rPr>
                <w:rFonts w:ascii="Arial" w:hAnsi="Arial" w:cs="Arial"/>
                <w:sz w:val="16"/>
                <w:szCs w:val="16"/>
              </w:rPr>
            </w:pPr>
            <w:r w:rsidRPr="00531545">
              <w:rPr>
                <w:rFonts w:ascii="Arial" w:hAnsi="Arial" w:cs="Arial"/>
                <w:sz w:val="16"/>
                <w:szCs w:val="16"/>
              </w:rPr>
              <w:t>COVID-19 spôsobil najmä vo vidieckych územiach obrovské problémy so zamestnanosťou. Väčšina MAS hlási vážne problémy zo strany podnikateľov o zapojenie sa do vyhlásených výziev a to z dôvodu, že sú prísne nastavené podmienky vzniku pracovných miest. Každý projekt musí generovať nejaké pracovné miesto a to za relatívne nízky objem peňazí. RO pre IROP sa snaží ako jeden z nástrojov na oživenie regiónov a podporu podnikateľského prostredia zmierniť tieto požiadavky a to tak, aby boli žiadatelia motivovaní zapájať sa do predmetných výziev.</w:t>
            </w:r>
          </w:p>
        </w:tc>
      </w:tr>
      <w:tr w:rsidR="00377D51" w:rsidRPr="00531545" w14:paraId="2E24EFEC"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CCA0611" w14:textId="77777777" w:rsidR="00377D51" w:rsidRPr="00531545" w:rsidRDefault="00377D51" w:rsidP="00744056">
            <w:pPr>
              <w:spacing w:before="40" w:after="40" w:line="245" w:lineRule="auto"/>
              <w:rPr>
                <w:sz w:val="16"/>
                <w:szCs w:val="16"/>
              </w:rPr>
            </w:pPr>
            <w:r w:rsidRPr="00531545">
              <w:rPr>
                <w:bCs/>
                <w:sz w:val="16"/>
                <w:szCs w:val="16"/>
              </w:rPr>
              <w:t>CO08</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1D57BCB4" w14:textId="77777777" w:rsidR="00377D51" w:rsidRPr="00531545" w:rsidRDefault="00377D51" w:rsidP="00744056">
            <w:pPr>
              <w:spacing w:before="40" w:after="40" w:line="245" w:lineRule="auto"/>
              <w:rPr>
                <w:sz w:val="16"/>
                <w:szCs w:val="16"/>
              </w:rPr>
            </w:pPr>
            <w:r w:rsidRPr="00531545">
              <w:rPr>
                <w:sz w:val="16"/>
                <w:szCs w:val="16"/>
              </w:rPr>
              <w:t>Zamestnanosť v podporených podnikoch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49EF090D" w14:textId="77777777" w:rsidR="00377D51" w:rsidRPr="00531545" w:rsidRDefault="00377D51" w:rsidP="00744056">
            <w:pPr>
              <w:spacing w:before="40" w:after="40" w:line="245" w:lineRule="auto"/>
              <w:jc w:val="center"/>
              <w:rPr>
                <w:bCs/>
                <w:sz w:val="16"/>
                <w:szCs w:val="16"/>
              </w:rPr>
            </w:pPr>
            <w:proofErr w:type="spellStart"/>
            <w:r w:rsidRPr="00531545">
              <w:rPr>
                <w:sz w:val="16"/>
                <w:szCs w:val="16"/>
              </w:rPr>
              <w:t>FTEs</w:t>
            </w:r>
            <w:proofErr w:type="spellEnd"/>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23B1262" w14:textId="77777777" w:rsidR="00377D51" w:rsidRPr="00531545" w:rsidRDefault="00377D51" w:rsidP="00744056">
            <w:pPr>
              <w:spacing w:before="40" w:after="40" w:line="245" w:lineRule="auto"/>
              <w:jc w:val="center"/>
              <w:rPr>
                <w:sz w:val="16"/>
                <w:szCs w:val="16"/>
              </w:rPr>
            </w:pPr>
            <w:r w:rsidRPr="00531545">
              <w:rPr>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5F3D318F" w14:textId="77777777" w:rsidR="00377D51" w:rsidRPr="00531545" w:rsidRDefault="00377D51" w:rsidP="00744056">
            <w:pPr>
              <w:spacing w:before="40" w:after="40" w:line="245" w:lineRule="auto"/>
              <w:jc w:val="center"/>
              <w:rPr>
                <w:bCs/>
                <w:sz w:val="16"/>
                <w:szCs w:val="16"/>
              </w:rPr>
            </w:pPr>
            <w:r w:rsidRPr="00531545">
              <w:rPr>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9A333CF"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15076584"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57CE4035" w14:textId="77777777" w:rsidR="00377D51" w:rsidRPr="00531545" w:rsidDel="00967649" w:rsidRDefault="00377D51" w:rsidP="00744056">
            <w:pPr>
              <w:spacing w:before="40" w:after="40" w:line="245" w:lineRule="auto"/>
              <w:jc w:val="center"/>
              <w:rPr>
                <w:sz w:val="16"/>
                <w:szCs w:val="16"/>
              </w:rPr>
            </w:pPr>
            <w:r w:rsidRPr="00531545">
              <w:rPr>
                <w:sz w:val="16"/>
                <w:szCs w:val="16"/>
              </w:rPr>
              <w:t>4</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1E82277E" w14:textId="77777777" w:rsidR="00377D51" w:rsidRPr="00531545" w:rsidRDefault="00377D51" w:rsidP="00744056">
            <w:pPr>
              <w:spacing w:before="40" w:after="40" w:line="245" w:lineRule="auto"/>
              <w:jc w:val="center"/>
              <w:rPr>
                <w:sz w:val="16"/>
                <w:szCs w:val="16"/>
              </w:rPr>
            </w:pPr>
            <w:r w:rsidRPr="00531545">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0231D861" w14:textId="77777777" w:rsidR="00377D51" w:rsidRPr="00531545" w:rsidRDefault="00377D51" w:rsidP="00744056">
            <w:pPr>
              <w:spacing w:before="40" w:after="40" w:line="245" w:lineRule="auto"/>
              <w:jc w:val="center"/>
              <w:rPr>
                <w:bCs/>
                <w:sz w:val="16"/>
                <w:szCs w:val="16"/>
              </w:rPr>
            </w:pPr>
            <w:r w:rsidRPr="00531545">
              <w:rPr>
                <w:sz w:val="16"/>
                <w:szCs w:val="16"/>
              </w:rPr>
              <w:t>ročne</w:t>
            </w:r>
          </w:p>
        </w:tc>
        <w:tc>
          <w:tcPr>
            <w:tcW w:w="5745" w:type="dxa"/>
            <w:vMerge/>
          </w:tcPr>
          <w:p w14:paraId="4D46BF47" w14:textId="77777777" w:rsidR="00377D51" w:rsidRPr="00531545" w:rsidRDefault="00377D51" w:rsidP="00744056">
            <w:pPr>
              <w:pStyle w:val="Odsekzoznamu"/>
              <w:spacing w:before="40" w:after="40" w:line="245" w:lineRule="auto"/>
              <w:ind w:left="24"/>
              <w:contextualSpacing w:val="0"/>
              <w:jc w:val="both"/>
              <w:rPr>
                <w:rFonts w:ascii="Arial" w:hAnsi="Arial" w:cs="Arial"/>
                <w:sz w:val="16"/>
                <w:szCs w:val="16"/>
              </w:rPr>
            </w:pPr>
          </w:p>
        </w:tc>
      </w:tr>
      <w:tr w:rsidR="00377D51" w:rsidRPr="00531545" w14:paraId="7ED920F6"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5A14F525" w14:textId="77777777" w:rsidR="00377D51" w:rsidRPr="001D27D8" w:rsidRDefault="00377D51" w:rsidP="00744056">
            <w:pPr>
              <w:spacing w:before="40" w:after="40" w:line="245" w:lineRule="auto"/>
              <w:rPr>
                <w:bCs/>
                <w:sz w:val="16"/>
                <w:szCs w:val="16"/>
              </w:rPr>
            </w:pPr>
            <w:r w:rsidRPr="001D27D8">
              <w:rPr>
                <w:bCs/>
                <w:sz w:val="16"/>
                <w:szCs w:val="16"/>
              </w:rPr>
              <w:t>CO28</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710D600F" w14:textId="77777777" w:rsidR="00377D51" w:rsidRPr="001D27D8" w:rsidRDefault="00377D51" w:rsidP="00744056">
            <w:pPr>
              <w:spacing w:before="40" w:after="40" w:line="245" w:lineRule="auto"/>
              <w:rPr>
                <w:sz w:val="16"/>
                <w:szCs w:val="16"/>
              </w:rPr>
            </w:pPr>
            <w:r w:rsidRPr="001D27D8">
              <w:rPr>
                <w:sz w:val="16"/>
                <w:szCs w:val="16"/>
              </w:rPr>
              <w:t>Počet podnikov, ktoré dostávajú podporu s cieľom predstaviť výrobky, ktoré sú pre trh nové</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292B1490" w14:textId="77777777" w:rsidR="00377D51" w:rsidRPr="00531545" w:rsidRDefault="00377D51" w:rsidP="00744056">
            <w:pPr>
              <w:spacing w:before="40" w:after="40" w:line="245" w:lineRule="auto"/>
              <w:jc w:val="center"/>
              <w:rPr>
                <w:sz w:val="16"/>
                <w:szCs w:val="16"/>
              </w:rPr>
            </w:pPr>
            <w:r w:rsidRPr="00531545">
              <w:rPr>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4C0AE8D" w14:textId="77777777" w:rsidR="00377D51" w:rsidRPr="00531545" w:rsidRDefault="00377D51" w:rsidP="00744056">
            <w:pPr>
              <w:spacing w:before="40" w:after="40" w:line="245" w:lineRule="auto"/>
              <w:jc w:val="center"/>
              <w:rPr>
                <w:sz w:val="16"/>
                <w:szCs w:val="16"/>
              </w:rPr>
            </w:pPr>
            <w:r w:rsidRPr="00531545">
              <w:rPr>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1EF55A0D" w14:textId="77777777" w:rsidR="00377D51" w:rsidRPr="00531545" w:rsidRDefault="00377D51" w:rsidP="00744056">
            <w:pPr>
              <w:spacing w:before="40" w:after="40" w:line="245" w:lineRule="auto"/>
              <w:jc w:val="center"/>
              <w:rPr>
                <w:sz w:val="16"/>
                <w:szCs w:val="16"/>
              </w:rPr>
            </w:pPr>
            <w:r w:rsidRPr="00531545">
              <w:rPr>
                <w:sz w:val="16"/>
                <w:szCs w:val="16"/>
              </w:rPr>
              <w:t>Menej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458C5DE5"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34FAE45F" w14:textId="77777777" w:rsidR="00377D51" w:rsidRPr="00531545" w:rsidRDefault="00377D51" w:rsidP="00744056">
            <w:pPr>
              <w:spacing w:before="40" w:after="40" w:line="245" w:lineRule="auto"/>
              <w:jc w:val="center"/>
              <w:rPr>
                <w:sz w:val="16"/>
                <w:szCs w:val="16"/>
              </w:rPr>
            </w:pPr>
            <w:r w:rsidRPr="00531545">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1817E39C" w14:textId="77777777" w:rsidR="00377D51" w:rsidRPr="00531545" w:rsidRDefault="00377D51" w:rsidP="00744056">
            <w:pPr>
              <w:spacing w:before="40" w:after="40" w:line="245" w:lineRule="auto"/>
              <w:jc w:val="center"/>
              <w:rPr>
                <w:sz w:val="16"/>
                <w:szCs w:val="16"/>
              </w:rPr>
            </w:pPr>
            <w:r w:rsidRPr="00531545">
              <w:rPr>
                <w:sz w:val="16"/>
                <w:szCs w:val="16"/>
              </w:rPr>
              <w:t>8</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67839C01" w14:textId="77777777" w:rsidR="00377D51" w:rsidRPr="00531545" w:rsidRDefault="00377D51" w:rsidP="00744056">
            <w:pPr>
              <w:spacing w:before="40" w:after="40" w:line="245" w:lineRule="auto"/>
              <w:jc w:val="center"/>
              <w:rPr>
                <w:sz w:val="16"/>
                <w:szCs w:val="16"/>
              </w:rPr>
            </w:pPr>
            <w:r w:rsidRPr="00531545">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3F04C561" w14:textId="77777777" w:rsidR="00377D51" w:rsidRPr="00531545" w:rsidRDefault="00377D51" w:rsidP="00744056">
            <w:pPr>
              <w:spacing w:before="40" w:after="40" w:line="245" w:lineRule="auto"/>
              <w:jc w:val="center"/>
              <w:rPr>
                <w:sz w:val="16"/>
                <w:szCs w:val="16"/>
              </w:rPr>
            </w:pPr>
            <w:r w:rsidRPr="00531545">
              <w:rPr>
                <w:sz w:val="16"/>
                <w:szCs w:val="16"/>
              </w:rPr>
              <w:t>ročne</w:t>
            </w:r>
          </w:p>
        </w:tc>
        <w:tc>
          <w:tcPr>
            <w:tcW w:w="5745" w:type="dxa"/>
          </w:tcPr>
          <w:p w14:paraId="3514ED1C" w14:textId="77777777" w:rsidR="00377D51" w:rsidRPr="00064E6F" w:rsidRDefault="00377D51" w:rsidP="00744056">
            <w:pPr>
              <w:spacing w:before="40" w:after="40" w:line="245" w:lineRule="auto"/>
              <w:jc w:val="both"/>
              <w:rPr>
                <w:sz w:val="16"/>
                <w:szCs w:val="16"/>
              </w:rPr>
            </w:pPr>
            <w:r w:rsidRPr="00064E6F">
              <w:rPr>
                <w:sz w:val="16"/>
                <w:szCs w:val="16"/>
              </w:rPr>
              <w:t>Dôvodom na zníženie predmetného ukazovateľa je fakt, že dôsledky pandémie COVID sú tak rozsiahle, že je náročné pre podnikateľov udržať firmu v plusových hodnotách a nemajú takmer žiaden priestor na vytváranie výrobkov, ktoré sú nové pre trh.</w:t>
            </w:r>
          </w:p>
        </w:tc>
      </w:tr>
      <w:tr w:rsidR="00377D51" w:rsidRPr="00531545" w14:paraId="0FD89D96" w14:textId="77777777" w:rsidTr="00744056">
        <w:tc>
          <w:tcPr>
            <w:tcW w:w="699" w:type="dxa"/>
            <w:tcBorders>
              <w:top w:val="single" w:sz="8" w:space="0" w:color="4E67C8"/>
              <w:left w:val="single" w:sz="8" w:space="0" w:color="4E67C8"/>
              <w:bottom w:val="single" w:sz="8" w:space="0" w:color="4E67C8"/>
              <w:right w:val="single" w:sz="8" w:space="0" w:color="4E67C8"/>
            </w:tcBorders>
            <w:shd w:val="clear" w:color="auto" w:fill="auto"/>
          </w:tcPr>
          <w:p w14:paraId="6AD27CBE" w14:textId="77777777" w:rsidR="00377D51" w:rsidRPr="00AF1D88" w:rsidRDefault="00377D51" w:rsidP="00744056">
            <w:pPr>
              <w:spacing w:before="40" w:after="40" w:line="245" w:lineRule="auto"/>
              <w:rPr>
                <w:bCs/>
                <w:strike/>
                <w:sz w:val="16"/>
                <w:szCs w:val="16"/>
              </w:rPr>
            </w:pPr>
            <w:r w:rsidRPr="00AF1D88">
              <w:rPr>
                <w:bCs/>
                <w:strike/>
                <w:sz w:val="16"/>
                <w:szCs w:val="16"/>
              </w:rPr>
              <w:t>CO28</w:t>
            </w:r>
          </w:p>
        </w:tc>
        <w:tc>
          <w:tcPr>
            <w:tcW w:w="1910" w:type="dxa"/>
            <w:tcBorders>
              <w:top w:val="single" w:sz="8" w:space="0" w:color="4E67C8"/>
              <w:left w:val="single" w:sz="8" w:space="0" w:color="4E67C8"/>
              <w:bottom w:val="single" w:sz="8" w:space="0" w:color="4E67C8"/>
              <w:right w:val="single" w:sz="8" w:space="0" w:color="4E67C8"/>
            </w:tcBorders>
            <w:shd w:val="clear" w:color="auto" w:fill="auto"/>
          </w:tcPr>
          <w:p w14:paraId="28087D23" w14:textId="77777777" w:rsidR="00377D51" w:rsidRPr="00AF1D88" w:rsidRDefault="00377D51" w:rsidP="00744056">
            <w:pPr>
              <w:spacing w:before="40" w:after="40" w:line="245" w:lineRule="auto"/>
              <w:rPr>
                <w:strike/>
                <w:sz w:val="16"/>
                <w:szCs w:val="16"/>
              </w:rPr>
            </w:pPr>
            <w:r w:rsidRPr="00AF1D88">
              <w:rPr>
                <w:strike/>
                <w:sz w:val="16"/>
                <w:szCs w:val="16"/>
              </w:rPr>
              <w:t>Počet podnikov, ktoré dostávajú podporu s cieľom predstaviť výrobky, ktoré sú pre trh nové</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68B561C8" w14:textId="77777777" w:rsidR="00377D51" w:rsidRPr="00AF1D88" w:rsidRDefault="00377D51" w:rsidP="00744056">
            <w:pPr>
              <w:spacing w:before="40" w:after="40" w:line="245" w:lineRule="auto"/>
              <w:jc w:val="center"/>
              <w:rPr>
                <w:strike/>
                <w:sz w:val="16"/>
                <w:szCs w:val="16"/>
              </w:rPr>
            </w:pPr>
            <w:r w:rsidRPr="00AF1D88">
              <w:rPr>
                <w:strike/>
                <w:sz w:val="16"/>
                <w:szCs w:val="16"/>
              </w:rPr>
              <w:t>podniky</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11752D18" w14:textId="77777777" w:rsidR="00377D51" w:rsidRPr="00AF1D88" w:rsidRDefault="00377D51" w:rsidP="00744056">
            <w:pPr>
              <w:spacing w:before="40" w:after="40" w:line="245" w:lineRule="auto"/>
              <w:jc w:val="center"/>
              <w:rPr>
                <w:strike/>
                <w:sz w:val="16"/>
                <w:szCs w:val="16"/>
              </w:rPr>
            </w:pPr>
            <w:r w:rsidRPr="00AF1D88">
              <w:rPr>
                <w:strike/>
                <w:sz w:val="16"/>
                <w:szCs w:val="16"/>
              </w:rPr>
              <w:t>EFRR</w:t>
            </w:r>
          </w:p>
        </w:tc>
        <w:tc>
          <w:tcPr>
            <w:tcW w:w="1361" w:type="dxa"/>
            <w:tcBorders>
              <w:top w:val="single" w:sz="8" w:space="0" w:color="4E67C8"/>
              <w:left w:val="single" w:sz="8" w:space="0" w:color="4E67C8"/>
              <w:bottom w:val="single" w:sz="8" w:space="0" w:color="4E67C8"/>
              <w:right w:val="single" w:sz="8" w:space="0" w:color="4E67C8"/>
            </w:tcBorders>
            <w:shd w:val="clear" w:color="auto" w:fill="auto"/>
          </w:tcPr>
          <w:p w14:paraId="574FB9B9" w14:textId="77777777" w:rsidR="00377D51" w:rsidRPr="00AF1D88" w:rsidRDefault="00377D51" w:rsidP="00744056">
            <w:pPr>
              <w:spacing w:before="40" w:after="40" w:line="245" w:lineRule="auto"/>
              <w:jc w:val="center"/>
              <w:rPr>
                <w:strike/>
                <w:sz w:val="16"/>
                <w:szCs w:val="16"/>
              </w:rPr>
            </w:pPr>
            <w:r w:rsidRPr="00AF1D88">
              <w:rPr>
                <w:strike/>
                <w:sz w:val="16"/>
                <w:szCs w:val="16"/>
              </w:rPr>
              <w:t>Viac rozvinutý región</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894DD67" w14:textId="77777777" w:rsidR="00377D51" w:rsidRPr="00AF1D88" w:rsidRDefault="00377D51" w:rsidP="00744056">
            <w:pPr>
              <w:spacing w:before="40" w:after="40" w:line="245" w:lineRule="auto"/>
              <w:jc w:val="center"/>
              <w:rPr>
                <w:strike/>
                <w:sz w:val="16"/>
                <w:szCs w:val="16"/>
              </w:rPr>
            </w:pPr>
            <w:r w:rsidRPr="00AF1D88">
              <w:rPr>
                <w:strike/>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1FE812C" w14:textId="77777777" w:rsidR="00377D51" w:rsidRPr="00AF1D88" w:rsidRDefault="00377D51" w:rsidP="00744056">
            <w:pPr>
              <w:spacing w:before="40" w:after="40" w:line="245" w:lineRule="auto"/>
              <w:jc w:val="center"/>
              <w:rPr>
                <w:strike/>
                <w:sz w:val="16"/>
                <w:szCs w:val="16"/>
              </w:rPr>
            </w:pPr>
            <w:r w:rsidRPr="00AF1D88">
              <w:rPr>
                <w:strike/>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4BAE5D22" w14:textId="77777777" w:rsidR="00377D51" w:rsidRPr="00AF1D88" w:rsidRDefault="00377D51" w:rsidP="00744056">
            <w:pPr>
              <w:spacing w:before="40" w:after="40" w:line="245" w:lineRule="auto"/>
              <w:jc w:val="center"/>
              <w:rPr>
                <w:strike/>
                <w:sz w:val="16"/>
                <w:szCs w:val="16"/>
              </w:rPr>
            </w:pPr>
            <w:r w:rsidRPr="00AF1D88">
              <w:rPr>
                <w:strike/>
                <w:sz w:val="16"/>
                <w:szCs w:val="16"/>
              </w:rPr>
              <w:t>0</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7B37CDC5" w14:textId="77777777" w:rsidR="00377D51" w:rsidRPr="00AF1D88" w:rsidRDefault="00377D51" w:rsidP="00744056">
            <w:pPr>
              <w:spacing w:before="40" w:after="40" w:line="245" w:lineRule="auto"/>
              <w:jc w:val="center"/>
              <w:rPr>
                <w:strike/>
                <w:sz w:val="16"/>
                <w:szCs w:val="16"/>
              </w:rPr>
            </w:pPr>
            <w:r w:rsidRPr="00AF1D88">
              <w:rPr>
                <w:strike/>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14:paraId="26DDF867" w14:textId="77777777" w:rsidR="00377D51" w:rsidRPr="00AF1D88" w:rsidRDefault="00377D51" w:rsidP="00744056">
            <w:pPr>
              <w:spacing w:before="40" w:after="40" w:line="245" w:lineRule="auto"/>
              <w:jc w:val="center"/>
              <w:rPr>
                <w:strike/>
                <w:sz w:val="16"/>
                <w:szCs w:val="16"/>
              </w:rPr>
            </w:pPr>
            <w:r w:rsidRPr="00AF1D88">
              <w:rPr>
                <w:strike/>
                <w:sz w:val="16"/>
                <w:szCs w:val="16"/>
              </w:rPr>
              <w:t>ročne</w:t>
            </w:r>
          </w:p>
        </w:tc>
        <w:tc>
          <w:tcPr>
            <w:tcW w:w="5745" w:type="dxa"/>
          </w:tcPr>
          <w:p w14:paraId="2C8F4862" w14:textId="77777777" w:rsidR="00377D51" w:rsidRPr="00531545" w:rsidRDefault="00377D51" w:rsidP="00744056">
            <w:pPr>
              <w:pStyle w:val="Odsekzoznamu"/>
              <w:spacing w:before="40" w:after="40" w:line="245" w:lineRule="auto"/>
              <w:ind w:left="24"/>
              <w:contextualSpacing w:val="0"/>
              <w:jc w:val="both"/>
              <w:rPr>
                <w:rFonts w:ascii="Arial" w:hAnsi="Arial" w:cs="Arial"/>
                <w:sz w:val="16"/>
                <w:szCs w:val="16"/>
              </w:rPr>
            </w:pPr>
            <w:r w:rsidRPr="00531545">
              <w:rPr>
                <w:rFonts w:ascii="Arial" w:hAnsi="Arial" w:cs="Arial"/>
                <w:sz w:val="16"/>
                <w:szCs w:val="16"/>
              </w:rPr>
              <w:t xml:space="preserve">Dôvodom </w:t>
            </w:r>
            <w:r>
              <w:rPr>
                <w:rFonts w:ascii="Arial" w:hAnsi="Arial" w:cs="Arial"/>
                <w:sz w:val="16"/>
                <w:szCs w:val="16"/>
              </w:rPr>
              <w:t>zrušenia</w:t>
            </w:r>
            <w:r w:rsidRPr="00531545">
              <w:rPr>
                <w:rFonts w:ascii="Arial" w:hAnsi="Arial" w:cs="Arial"/>
                <w:sz w:val="16"/>
                <w:szCs w:val="16"/>
              </w:rPr>
              <w:t xml:space="preserve"> tohto ukazovateľa je fakt, že vytvoriť nový výrobok na trhu v Bratislavskom kraji je v súčasnej dobe takmer nerealizovateľné a to aj vzhľadom na výšku podpory, ktorá môže byť na 1 projekt maximálne 100 000 Eur NFP.</w:t>
            </w:r>
            <w:r>
              <w:rPr>
                <w:rFonts w:ascii="Arial" w:hAnsi="Arial" w:cs="Arial"/>
                <w:sz w:val="16"/>
                <w:szCs w:val="16"/>
              </w:rPr>
              <w:t xml:space="preserve"> Z tohto dôvodu navrhuje RO pre IROP tento ukazovateľ zrušiť.</w:t>
            </w:r>
          </w:p>
        </w:tc>
      </w:tr>
    </w:tbl>
    <w:p w14:paraId="04224FFF" w14:textId="77777777" w:rsidR="00377D51" w:rsidRPr="00531545" w:rsidRDefault="00377D51" w:rsidP="00377D51">
      <w:pPr>
        <w:spacing w:before="80" w:after="80" w:line="245" w:lineRule="auto"/>
        <w:jc w:val="both"/>
        <w:rPr>
          <w:rFonts w:ascii="Arial Narrow" w:hAnsi="Arial Narrow"/>
          <w:color w:val="000000"/>
        </w:rPr>
      </w:pPr>
    </w:p>
    <w:p w14:paraId="3363AE92" w14:textId="77777777" w:rsidR="00377D51" w:rsidRDefault="00377D51" w:rsidP="00377D51">
      <w:pPr>
        <w:jc w:val="both"/>
        <w:rPr>
          <w:rFonts w:ascii="Arial Narrow" w:hAnsi="Arial Narrow"/>
          <w:color w:val="000000"/>
        </w:rPr>
      </w:pPr>
    </w:p>
    <w:p w14:paraId="365DE60C" w14:textId="77777777" w:rsidR="00377D51" w:rsidRDefault="00377D51" w:rsidP="004414E7">
      <w:pPr>
        <w:pStyle w:val="Default"/>
        <w:jc w:val="both"/>
        <w:rPr>
          <w:rFonts w:ascii="Arial" w:eastAsia="Trebuchet MS" w:hAnsi="Arial" w:cs="Arial"/>
          <w:color w:val="auto"/>
          <w:sz w:val="22"/>
          <w:szCs w:val="22"/>
        </w:rPr>
        <w:sectPr w:rsidR="00377D51" w:rsidSect="00377D51">
          <w:pgSz w:w="16838" w:h="11906" w:orient="landscape"/>
          <w:pgMar w:top="1247" w:right="1276" w:bottom="992" w:left="1134" w:header="709" w:footer="544" w:gutter="0"/>
          <w:cols w:space="708"/>
          <w:docGrid w:linePitch="360"/>
        </w:sectPr>
      </w:pPr>
    </w:p>
    <w:p w14:paraId="778CC393" w14:textId="77777777" w:rsidR="00377D51" w:rsidRPr="00D073D5" w:rsidRDefault="00377D51" w:rsidP="00377D51">
      <w:pPr>
        <w:pStyle w:val="Odsekzoznamu"/>
        <w:numPr>
          <w:ilvl w:val="0"/>
          <w:numId w:val="28"/>
        </w:numPr>
        <w:spacing w:before="240" w:after="120" w:line="240" w:lineRule="auto"/>
        <w:ind w:left="284" w:hanging="284"/>
        <w:contextualSpacing w:val="0"/>
        <w:jc w:val="both"/>
        <w:rPr>
          <w:rFonts w:ascii="Arial" w:hAnsi="Arial" w:cs="Arial"/>
          <w:b/>
        </w:rPr>
      </w:pPr>
      <w:r w:rsidRPr="00D073D5">
        <w:rPr>
          <w:rFonts w:ascii="Arial" w:hAnsi="Arial" w:cs="Arial"/>
          <w:b/>
        </w:rPr>
        <w:lastRenderedPageBreak/>
        <w:t xml:space="preserve">Presuny finančných prostriedkov v Prioritnej osi 6 Technická pomoc </w:t>
      </w:r>
    </w:p>
    <w:p w14:paraId="6E37D6CF" w14:textId="77777777" w:rsidR="00377D51" w:rsidRPr="00D073D5" w:rsidRDefault="00377D51" w:rsidP="0087675E">
      <w:pPr>
        <w:pStyle w:val="Default"/>
        <w:spacing w:line="276" w:lineRule="auto"/>
        <w:jc w:val="both"/>
        <w:rPr>
          <w:rFonts w:ascii="Arial" w:hAnsi="Arial" w:cs="Arial"/>
          <w:sz w:val="22"/>
          <w:szCs w:val="22"/>
        </w:rPr>
      </w:pPr>
      <w:r w:rsidRPr="00D073D5">
        <w:rPr>
          <w:rFonts w:ascii="Arial" w:hAnsi="Arial" w:cs="Arial"/>
          <w:sz w:val="22"/>
          <w:szCs w:val="22"/>
        </w:rPr>
        <w:t xml:space="preserve">Na základe aktuálneho stavu kontrahovania a čerpania PO6 a potrieb vyplývajúcich z implementácie IROP vznikla potreba navýšiť zdroje financovania na oblasť výdavkov 121 Príprava – mzdy, materiálno-technická zabezpečenie, nájom. Navýšenie výdavkov je vykonané znížením sumy zdrojov pre oblasť výdavkov 123  Publicita a informovanie. Finančné prostriedky v oblasti výdavkov 122 sú vyčerpané. </w:t>
      </w:r>
    </w:p>
    <w:p w14:paraId="6F38BF81" w14:textId="6C970ADB" w:rsidR="00377D51" w:rsidRPr="00D073D5" w:rsidRDefault="00377D51" w:rsidP="0087675E">
      <w:pPr>
        <w:pStyle w:val="Normlnywebov"/>
        <w:spacing w:line="276" w:lineRule="auto"/>
        <w:jc w:val="both"/>
        <w:rPr>
          <w:rFonts w:ascii="Arial" w:eastAsiaTheme="minorHAnsi" w:hAnsi="Arial" w:cs="Arial"/>
          <w:color w:val="000000"/>
          <w:sz w:val="22"/>
          <w:szCs w:val="22"/>
          <w:lang w:eastAsia="en-US"/>
        </w:rPr>
      </w:pPr>
      <w:r w:rsidRPr="00D073D5">
        <w:rPr>
          <w:rFonts w:ascii="Arial" w:eastAsiaTheme="minorHAnsi" w:hAnsi="Arial" w:cs="Arial"/>
          <w:color w:val="000000"/>
          <w:sz w:val="22"/>
          <w:szCs w:val="22"/>
          <w:lang w:eastAsia="en-US"/>
        </w:rPr>
        <w:t>Do konca programového obdobia 20</w:t>
      </w:r>
      <w:r w:rsidR="00361F79">
        <w:rPr>
          <w:rFonts w:ascii="Arial" w:eastAsiaTheme="minorHAnsi" w:hAnsi="Arial" w:cs="Arial"/>
          <w:color w:val="000000"/>
          <w:sz w:val="22"/>
          <w:szCs w:val="22"/>
          <w:lang w:eastAsia="en-US"/>
        </w:rPr>
        <w:t>14-2020</w:t>
      </w:r>
      <w:r w:rsidRPr="00D073D5">
        <w:rPr>
          <w:rFonts w:ascii="Arial" w:eastAsiaTheme="minorHAnsi" w:hAnsi="Arial" w:cs="Arial"/>
          <w:color w:val="000000"/>
          <w:sz w:val="22"/>
          <w:szCs w:val="22"/>
          <w:lang w:eastAsia="en-US"/>
        </w:rPr>
        <w:t xml:space="preserve"> je plánované čerpanie predovšetkým na intervencii 121, kde výdavky budú vynaložené na prenájom priestorov, externé hodnotenie IROP, materiálno-technické zabezpečenie, mzdové výdavky zamestnancov IROP.</w:t>
      </w:r>
    </w:p>
    <w:p w14:paraId="6F179EE3" w14:textId="77777777" w:rsidR="00377D51" w:rsidRPr="00D073D5" w:rsidRDefault="00377D51" w:rsidP="0087675E">
      <w:pPr>
        <w:pStyle w:val="Odsekzoznamu"/>
        <w:numPr>
          <w:ilvl w:val="0"/>
          <w:numId w:val="28"/>
        </w:numPr>
        <w:spacing w:before="240" w:after="120"/>
        <w:ind w:left="284" w:hanging="284"/>
        <w:contextualSpacing w:val="0"/>
        <w:jc w:val="both"/>
        <w:rPr>
          <w:rFonts w:ascii="Arial" w:hAnsi="Arial" w:cs="Arial"/>
          <w:b/>
        </w:rPr>
      </w:pPr>
      <w:r w:rsidRPr="00D073D5">
        <w:rPr>
          <w:rFonts w:ascii="Arial" w:hAnsi="Arial" w:cs="Arial"/>
          <w:b/>
        </w:rPr>
        <w:t xml:space="preserve">Úprava znenia špecifického cieľa 7.5. Zvýšenie počtu žiakov stredných odborných škôl na praktickom vyučovaní v Banskobystrickom kraji </w:t>
      </w:r>
    </w:p>
    <w:p w14:paraId="7837615F" w14:textId="77777777" w:rsidR="00377D51" w:rsidRPr="00D073D5" w:rsidRDefault="00377D51" w:rsidP="0087675E">
      <w:pPr>
        <w:spacing w:before="120" w:line="276" w:lineRule="auto"/>
        <w:jc w:val="both"/>
        <w:rPr>
          <w:color w:val="000000"/>
          <w:sz w:val="22"/>
          <w:szCs w:val="22"/>
        </w:rPr>
      </w:pPr>
      <w:r w:rsidRPr="00D073D5">
        <w:rPr>
          <w:color w:val="000000"/>
          <w:sz w:val="22"/>
          <w:szCs w:val="22"/>
        </w:rPr>
        <w:t xml:space="preserve">RO pre IROP zmenou v OP spresnil znenie podpory stredných odborných škôl. Zároveň doplnil na základe pokročilého stavu prípravy projektov aj aktivity, oprávnených prijímateľov a cieľové skupiny pre realizáciu daných projektov v rámci iniciatívy na pomoc dobiehajúcim regiónom. </w:t>
      </w:r>
    </w:p>
    <w:p w14:paraId="7F9F83E7" w14:textId="77777777" w:rsidR="00377D51" w:rsidRPr="00D073D5" w:rsidRDefault="00377D51" w:rsidP="0087675E">
      <w:pPr>
        <w:pStyle w:val="Odsekzoznamu"/>
        <w:numPr>
          <w:ilvl w:val="0"/>
          <w:numId w:val="28"/>
        </w:numPr>
        <w:spacing w:before="240" w:after="120"/>
        <w:ind w:left="284" w:hanging="284"/>
        <w:contextualSpacing w:val="0"/>
        <w:jc w:val="both"/>
        <w:rPr>
          <w:rFonts w:ascii="Arial" w:hAnsi="Arial" w:cs="Arial"/>
          <w:b/>
        </w:rPr>
      </w:pPr>
      <w:r w:rsidRPr="00D073D5">
        <w:rPr>
          <w:rFonts w:ascii="Arial" w:hAnsi="Arial" w:cs="Arial"/>
          <w:b/>
        </w:rPr>
        <w:t xml:space="preserve">Úprava znenia špecifického cieľa 7.6:  Predprojektová príprava  </w:t>
      </w:r>
    </w:p>
    <w:p w14:paraId="58C1BA05" w14:textId="77777777" w:rsidR="00F17045" w:rsidRPr="00F17045" w:rsidRDefault="00F17045" w:rsidP="0087675E">
      <w:pPr>
        <w:spacing w:before="120" w:line="276" w:lineRule="auto"/>
        <w:jc w:val="both"/>
        <w:rPr>
          <w:color w:val="000000"/>
          <w:sz w:val="22"/>
          <w:szCs w:val="22"/>
        </w:rPr>
      </w:pPr>
      <w:r w:rsidRPr="00F17045">
        <w:rPr>
          <w:color w:val="000000"/>
          <w:sz w:val="22"/>
          <w:szCs w:val="22"/>
        </w:rPr>
        <w:t>Zmenou v rámci špecifického cieľa 7.6. Predprojektová príprava došlo k úprave aktivít s cieľom ich sprehľadnenia a ich jednoduchšieho obsiahnutia vo výzvach a pri samotnej implementácii.</w:t>
      </w:r>
    </w:p>
    <w:p w14:paraId="1B0A34CD" w14:textId="18FF4AF4" w:rsidR="00F17045" w:rsidRPr="00F17045" w:rsidRDefault="00F17045" w:rsidP="0087675E">
      <w:pPr>
        <w:spacing w:before="120" w:line="276" w:lineRule="auto"/>
        <w:jc w:val="both"/>
        <w:rPr>
          <w:color w:val="000000"/>
          <w:sz w:val="22"/>
          <w:szCs w:val="22"/>
        </w:rPr>
      </w:pPr>
      <w:r w:rsidRPr="00F17045">
        <w:rPr>
          <w:color w:val="000000"/>
          <w:sz w:val="22"/>
          <w:szCs w:val="22"/>
        </w:rPr>
        <w:t>Doplnením oprávnených prijímateľov o „rozpočtové a príspevkové organizácie štátu a samosprávy“ sa zabezpečí zjednodušenie implementácie na základe praktických skúseností z obstarávania projektovej dokumentácie vo verejnom sektore, keďže projektovú dokumentáciu štát aj samospráva často obstarávajú prostredníctvom svojich priamo riadených organizácií.</w:t>
      </w:r>
    </w:p>
    <w:p w14:paraId="3EDB59A2" w14:textId="77777777" w:rsidR="00377D51" w:rsidRPr="00D073D5" w:rsidRDefault="00377D51" w:rsidP="0087675E">
      <w:pPr>
        <w:pStyle w:val="Odsekzoznamu"/>
        <w:numPr>
          <w:ilvl w:val="0"/>
          <w:numId w:val="28"/>
        </w:numPr>
        <w:spacing w:before="240" w:after="120"/>
        <w:ind w:left="284" w:hanging="284"/>
        <w:contextualSpacing w:val="0"/>
        <w:jc w:val="both"/>
        <w:rPr>
          <w:rFonts w:ascii="Arial" w:hAnsi="Arial" w:cs="Arial"/>
          <w:b/>
        </w:rPr>
      </w:pPr>
      <w:r w:rsidRPr="00D073D5">
        <w:rPr>
          <w:rFonts w:ascii="Arial" w:hAnsi="Arial" w:cs="Arial"/>
          <w:b/>
        </w:rPr>
        <w:t xml:space="preserve">Uplatnenie 2. </w:t>
      </w:r>
      <w:proofErr w:type="spellStart"/>
      <w:r w:rsidRPr="00D073D5">
        <w:rPr>
          <w:rFonts w:ascii="Arial" w:hAnsi="Arial" w:cs="Arial"/>
          <w:b/>
        </w:rPr>
        <w:t>tranže</w:t>
      </w:r>
      <w:proofErr w:type="spellEnd"/>
      <w:r w:rsidRPr="00D073D5">
        <w:rPr>
          <w:rFonts w:ascii="Arial" w:hAnsi="Arial" w:cs="Arial"/>
          <w:b/>
        </w:rPr>
        <w:t xml:space="preserve"> z REACT-EÚ v rámci prioritnej osi 7 a úprava hodnôt vybraných merateľných ukazovateľov </w:t>
      </w:r>
    </w:p>
    <w:p w14:paraId="4709E6C9" w14:textId="42A2714D" w:rsidR="00F17045" w:rsidRDefault="00F17045" w:rsidP="0087675E">
      <w:pPr>
        <w:spacing w:line="276" w:lineRule="auto"/>
        <w:jc w:val="both"/>
        <w:rPr>
          <w:color w:val="000000"/>
          <w:sz w:val="22"/>
          <w:szCs w:val="22"/>
        </w:rPr>
      </w:pPr>
      <w:r w:rsidRPr="00F17045">
        <w:rPr>
          <w:color w:val="000000"/>
          <w:sz w:val="22"/>
          <w:szCs w:val="22"/>
        </w:rPr>
        <w:t xml:space="preserve">Za účelom zmiernenia dopadov pandémie COVID-19 a predchádzaniu zväčšovania regionálnych disparít v rámci Slovenska boli prostredníctvom tematického cieľa č. 13 „Podpora nápravy dôsledkov krízy v súvislosti s pandémiou COVID-19 a príprava zelenej, digitálnej a odolnej obnovy hospodárstva“ poskytnuté dodatočné zdroje v objeme 235 782 984  Eur v rámci prioritnej osi 7 – REACT-EÚ a prioritnej os 8 – Technická pomoc – REACT-EÚ. Prostriedky budú použité na opatrenia súvisiace s obnovou po kríze spojenej s pandémiou COVID-19 vrátane jej sociálnych dôsledkov a na prípravu zeleného, digitálneho a odolného oživenia hospodárstva. Na základe vykonávacieho rozhodnutia EK pripravená revízia zohľadňuje pridelenie 2. </w:t>
      </w:r>
      <w:proofErr w:type="spellStart"/>
      <w:r w:rsidRPr="00F17045">
        <w:rPr>
          <w:color w:val="000000"/>
          <w:sz w:val="22"/>
          <w:szCs w:val="22"/>
        </w:rPr>
        <w:t>tranže</w:t>
      </w:r>
      <w:proofErr w:type="spellEnd"/>
      <w:r w:rsidRPr="00F17045">
        <w:rPr>
          <w:color w:val="000000"/>
          <w:sz w:val="22"/>
          <w:szCs w:val="22"/>
        </w:rPr>
        <w:t xml:space="preserve"> v objeme 40 881 990 Eur na rok 2022. Celková suma 2. </w:t>
      </w:r>
      <w:proofErr w:type="spellStart"/>
      <w:r w:rsidRPr="00F17045">
        <w:rPr>
          <w:color w:val="000000"/>
          <w:sz w:val="22"/>
          <w:szCs w:val="22"/>
        </w:rPr>
        <w:t>tranže</w:t>
      </w:r>
      <w:proofErr w:type="spellEnd"/>
      <w:r w:rsidRPr="00F17045">
        <w:rPr>
          <w:color w:val="000000"/>
          <w:sz w:val="22"/>
          <w:szCs w:val="22"/>
        </w:rPr>
        <w:t xml:space="preserve"> REACT-EÚ bola alokovaná na špecifické ciele 7.2. Zvýšenie atraktivity a prepravnej kapacity nemotorovej dopravy (predovšetkým cyklistickej dopravy) na celkovom počte prepravených osôb, 7.4. Zvýšenie kapacít základných škôl v Bratislavskom kraji a 7.8. Zvýšenie energetickej efektívnosti bytových domov a na prioritnú os 8. Technická pomoc – REACT-EÚ. V prípade navýšenia alokácie špecifického cieľa 7.4. Zvýšenie kapacít základných škôl v Bratislavskom kraji sa zároveň dosiahne príspevok programu k podpore ľudí utekajúcich pred ruskou inváziou na Ukrajine. </w:t>
      </w:r>
    </w:p>
    <w:p w14:paraId="6CE17D06" w14:textId="10E97827" w:rsidR="0087675E" w:rsidRDefault="0087675E" w:rsidP="0087675E">
      <w:pPr>
        <w:spacing w:line="276" w:lineRule="auto"/>
        <w:jc w:val="both"/>
        <w:rPr>
          <w:color w:val="000000"/>
          <w:sz w:val="22"/>
          <w:szCs w:val="22"/>
        </w:rPr>
      </w:pPr>
    </w:p>
    <w:p w14:paraId="67B3249E" w14:textId="49275954" w:rsidR="0087675E" w:rsidRDefault="0087675E" w:rsidP="0087675E">
      <w:pPr>
        <w:spacing w:line="276" w:lineRule="auto"/>
        <w:jc w:val="both"/>
        <w:rPr>
          <w:color w:val="000000"/>
          <w:sz w:val="22"/>
          <w:szCs w:val="22"/>
        </w:rPr>
      </w:pPr>
    </w:p>
    <w:p w14:paraId="059ACDC0" w14:textId="15546C3F" w:rsidR="0087675E" w:rsidRDefault="0087675E" w:rsidP="0087675E">
      <w:pPr>
        <w:spacing w:line="276" w:lineRule="auto"/>
        <w:jc w:val="both"/>
        <w:rPr>
          <w:color w:val="000000"/>
          <w:sz w:val="22"/>
          <w:szCs w:val="22"/>
        </w:rPr>
      </w:pPr>
    </w:p>
    <w:p w14:paraId="62C9738B" w14:textId="77777777" w:rsidR="0087675E" w:rsidRPr="00F17045" w:rsidRDefault="0087675E" w:rsidP="0087675E">
      <w:pPr>
        <w:spacing w:line="276" w:lineRule="auto"/>
        <w:jc w:val="both"/>
        <w:rPr>
          <w:color w:val="000000"/>
          <w:sz w:val="22"/>
          <w:szCs w:val="22"/>
        </w:rPr>
      </w:pPr>
    </w:p>
    <w:p w14:paraId="405ADA22" w14:textId="77777777" w:rsidR="00377D51" w:rsidRPr="00140B56" w:rsidRDefault="00377D51" w:rsidP="00377D51">
      <w:pPr>
        <w:jc w:val="both"/>
        <w:rPr>
          <w:rFonts w:ascii="Arial Narrow" w:hAnsi="Arial Narrow"/>
          <w:color w:val="000000"/>
        </w:rPr>
      </w:pPr>
    </w:p>
    <w:p w14:paraId="2CE47261" w14:textId="4B4AD150" w:rsidR="00377D51" w:rsidRDefault="00377D51" w:rsidP="00377D51">
      <w:pPr>
        <w:rPr>
          <w:rFonts w:ascii="Arial Narrow" w:hAnsi="Arial Narrow"/>
          <w:b/>
          <w:color w:val="000000"/>
        </w:rPr>
      </w:pPr>
      <w:r w:rsidRPr="00EB682D">
        <w:rPr>
          <w:rFonts w:ascii="Arial Narrow" w:hAnsi="Arial Narrow"/>
          <w:b/>
          <w:color w:val="000000"/>
        </w:rPr>
        <w:lastRenderedPageBreak/>
        <w:t>Tabuľka č. 2: Prerozdelenie finančných prostriedkov REACT</w:t>
      </w:r>
      <w:r w:rsidR="00D073D5">
        <w:rPr>
          <w:rFonts w:ascii="Arial Narrow" w:hAnsi="Arial Narrow"/>
          <w:b/>
          <w:color w:val="000000"/>
        </w:rPr>
        <w:t>-</w:t>
      </w:r>
      <w:r w:rsidRPr="00EB682D">
        <w:rPr>
          <w:rFonts w:ascii="Arial Narrow" w:hAnsi="Arial Narrow"/>
          <w:b/>
          <w:color w:val="000000"/>
        </w:rPr>
        <w:t>EÚ</w:t>
      </w:r>
    </w:p>
    <w:p w14:paraId="025DA715" w14:textId="100479E6" w:rsidR="00377D51" w:rsidRDefault="00377D51" w:rsidP="00377D51"/>
    <w:tbl>
      <w:tblPr>
        <w:tblW w:w="9366" w:type="dxa"/>
        <w:tblInd w:w="-15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top w:w="57" w:type="dxa"/>
          <w:left w:w="57" w:type="dxa"/>
          <w:bottom w:w="57" w:type="dxa"/>
          <w:right w:w="28" w:type="dxa"/>
        </w:tblCellMar>
        <w:tblLook w:val="04A0" w:firstRow="1" w:lastRow="0" w:firstColumn="1" w:lastColumn="0" w:noHBand="0" w:noVBand="1"/>
      </w:tblPr>
      <w:tblGrid>
        <w:gridCol w:w="284"/>
        <w:gridCol w:w="2126"/>
        <w:gridCol w:w="1145"/>
        <w:gridCol w:w="1134"/>
        <w:gridCol w:w="1134"/>
        <w:gridCol w:w="1144"/>
        <w:gridCol w:w="1124"/>
        <w:gridCol w:w="1275"/>
      </w:tblGrid>
      <w:tr w:rsidR="00F17045" w:rsidRPr="00531545" w14:paraId="5A631F7F" w14:textId="77777777" w:rsidTr="00C11675">
        <w:trPr>
          <w:trHeight w:val="184"/>
        </w:trPr>
        <w:tc>
          <w:tcPr>
            <w:tcW w:w="284" w:type="dxa"/>
            <w:vMerge w:val="restart"/>
            <w:tcBorders>
              <w:top w:val="single" w:sz="8" w:space="0" w:color="4E67C8"/>
              <w:left w:val="single" w:sz="8" w:space="0" w:color="4E67C8"/>
              <w:right w:val="single" w:sz="8" w:space="0" w:color="4E67C8"/>
            </w:tcBorders>
            <w:shd w:val="clear" w:color="auto" w:fill="auto"/>
            <w:vAlign w:val="center"/>
          </w:tcPr>
          <w:p w14:paraId="77AE14EC" w14:textId="77777777" w:rsidR="00F17045" w:rsidRPr="00531545" w:rsidRDefault="00F17045" w:rsidP="00C11675">
            <w:pPr>
              <w:jc w:val="center"/>
              <w:rPr>
                <w:b/>
                <w:bCs/>
                <w:sz w:val="16"/>
                <w:szCs w:val="16"/>
              </w:rPr>
            </w:pPr>
            <w:r>
              <w:rPr>
                <w:b/>
                <w:bCs/>
                <w:sz w:val="16"/>
                <w:szCs w:val="16"/>
              </w:rPr>
              <w:t>ID</w:t>
            </w:r>
          </w:p>
        </w:tc>
        <w:tc>
          <w:tcPr>
            <w:tcW w:w="2126" w:type="dxa"/>
            <w:vMerge w:val="restart"/>
            <w:tcBorders>
              <w:top w:val="single" w:sz="8" w:space="0" w:color="4E67C8"/>
              <w:left w:val="single" w:sz="8" w:space="0" w:color="4E67C8"/>
              <w:right w:val="single" w:sz="8" w:space="0" w:color="4E67C8"/>
            </w:tcBorders>
            <w:shd w:val="clear" w:color="auto" w:fill="auto"/>
            <w:vAlign w:val="center"/>
          </w:tcPr>
          <w:p w14:paraId="6C65ABE6" w14:textId="77777777" w:rsidR="00F17045" w:rsidRPr="0030410D" w:rsidRDefault="00F17045" w:rsidP="00C11675">
            <w:pPr>
              <w:jc w:val="center"/>
              <w:rPr>
                <w:b/>
                <w:bCs/>
                <w:color w:val="000000"/>
                <w:sz w:val="15"/>
                <w:szCs w:val="15"/>
              </w:rPr>
            </w:pPr>
            <w:r>
              <w:rPr>
                <w:b/>
                <w:bCs/>
                <w:color w:val="000000"/>
                <w:sz w:val="15"/>
                <w:szCs w:val="15"/>
              </w:rPr>
              <w:t>Špecifický cieľ</w:t>
            </w:r>
          </w:p>
        </w:tc>
        <w:tc>
          <w:tcPr>
            <w:tcW w:w="1145" w:type="dxa"/>
            <w:vMerge w:val="restart"/>
            <w:tcBorders>
              <w:top w:val="single" w:sz="8" w:space="0" w:color="4E67C8"/>
              <w:left w:val="single" w:sz="8" w:space="0" w:color="4E67C8"/>
              <w:right w:val="single" w:sz="8" w:space="0" w:color="4E67C8"/>
            </w:tcBorders>
            <w:shd w:val="clear" w:color="auto" w:fill="auto"/>
            <w:vAlign w:val="center"/>
          </w:tcPr>
          <w:p w14:paraId="138094A9" w14:textId="77777777" w:rsidR="00F17045" w:rsidRPr="0030410D" w:rsidRDefault="00F17045" w:rsidP="00C11675">
            <w:pPr>
              <w:jc w:val="center"/>
              <w:rPr>
                <w:b/>
                <w:bCs/>
                <w:color w:val="000000"/>
                <w:sz w:val="15"/>
                <w:szCs w:val="15"/>
              </w:rPr>
            </w:pPr>
            <w:r w:rsidRPr="0030410D">
              <w:rPr>
                <w:b/>
                <w:bCs/>
                <w:color w:val="000000"/>
                <w:sz w:val="15"/>
                <w:szCs w:val="15"/>
              </w:rPr>
              <w:t>Celková alokácia  REACT EÚ</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46D3E5D8" w14:textId="77777777" w:rsidR="00F17045" w:rsidRPr="0030410D" w:rsidRDefault="00F17045" w:rsidP="00C11675">
            <w:pPr>
              <w:jc w:val="center"/>
              <w:rPr>
                <w:b/>
                <w:bCs/>
                <w:color w:val="000000"/>
                <w:sz w:val="15"/>
                <w:szCs w:val="15"/>
              </w:rPr>
            </w:pPr>
            <w:r w:rsidRPr="0030410D">
              <w:rPr>
                <w:b/>
                <w:bCs/>
                <w:color w:val="000000"/>
                <w:sz w:val="15"/>
                <w:szCs w:val="15"/>
              </w:rPr>
              <w:t xml:space="preserve">1. </w:t>
            </w:r>
            <w:proofErr w:type="spellStart"/>
            <w:r w:rsidRPr="0030410D">
              <w:rPr>
                <w:b/>
                <w:bCs/>
                <w:color w:val="000000"/>
                <w:sz w:val="15"/>
                <w:szCs w:val="15"/>
              </w:rPr>
              <w:t>tranža</w:t>
            </w:r>
            <w:proofErr w:type="spellEnd"/>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4A257020" w14:textId="77777777" w:rsidR="00F17045" w:rsidRPr="0030410D" w:rsidRDefault="00F17045" w:rsidP="00C11675">
            <w:pPr>
              <w:jc w:val="center"/>
              <w:rPr>
                <w:b/>
                <w:bCs/>
                <w:color w:val="000000"/>
                <w:sz w:val="15"/>
                <w:szCs w:val="15"/>
              </w:rPr>
            </w:pPr>
            <w:r w:rsidRPr="0030410D">
              <w:rPr>
                <w:b/>
                <w:bCs/>
                <w:color w:val="000000"/>
                <w:sz w:val="15"/>
                <w:szCs w:val="15"/>
              </w:rPr>
              <w:t xml:space="preserve">2. </w:t>
            </w:r>
            <w:proofErr w:type="spellStart"/>
            <w:r w:rsidRPr="0030410D">
              <w:rPr>
                <w:b/>
                <w:bCs/>
                <w:color w:val="000000"/>
                <w:sz w:val="15"/>
                <w:szCs w:val="15"/>
              </w:rPr>
              <w:t>tranža</w:t>
            </w:r>
            <w:proofErr w:type="spellEnd"/>
          </w:p>
        </w:tc>
        <w:tc>
          <w:tcPr>
            <w:tcW w:w="1144" w:type="dxa"/>
            <w:vMerge w:val="restart"/>
            <w:tcBorders>
              <w:top w:val="single" w:sz="8" w:space="0" w:color="4E67C8"/>
              <w:left w:val="single" w:sz="8" w:space="0" w:color="4E67C8"/>
              <w:right w:val="single" w:sz="8" w:space="0" w:color="4E67C8"/>
            </w:tcBorders>
            <w:shd w:val="clear" w:color="auto" w:fill="auto"/>
            <w:vAlign w:val="center"/>
          </w:tcPr>
          <w:p w14:paraId="194B619B" w14:textId="77777777" w:rsidR="00F17045" w:rsidRPr="0030410D" w:rsidRDefault="00F17045" w:rsidP="00C11675">
            <w:pPr>
              <w:jc w:val="center"/>
              <w:rPr>
                <w:b/>
                <w:bCs/>
                <w:color w:val="000000"/>
                <w:sz w:val="15"/>
                <w:szCs w:val="15"/>
              </w:rPr>
            </w:pPr>
            <w:r w:rsidRPr="0030410D">
              <w:rPr>
                <w:b/>
                <w:bCs/>
                <w:color w:val="000000"/>
                <w:sz w:val="15"/>
                <w:szCs w:val="15"/>
              </w:rPr>
              <w:t>kód intervencie</w:t>
            </w:r>
          </w:p>
        </w:tc>
        <w:tc>
          <w:tcPr>
            <w:tcW w:w="1124" w:type="dxa"/>
            <w:vMerge w:val="restart"/>
            <w:tcBorders>
              <w:top w:val="single" w:sz="8" w:space="0" w:color="4E67C8"/>
              <w:left w:val="single" w:sz="8" w:space="0" w:color="4E67C8"/>
              <w:right w:val="single" w:sz="8" w:space="0" w:color="4E67C8"/>
            </w:tcBorders>
            <w:vAlign w:val="center"/>
          </w:tcPr>
          <w:p w14:paraId="7BEC32F3" w14:textId="77777777" w:rsidR="00F17045" w:rsidRDefault="00F17045" w:rsidP="00C11675">
            <w:pPr>
              <w:jc w:val="center"/>
              <w:rPr>
                <w:b/>
                <w:bCs/>
                <w:color w:val="000000"/>
                <w:sz w:val="15"/>
                <w:szCs w:val="15"/>
              </w:rPr>
            </w:pPr>
            <w:r w:rsidRPr="0030410D">
              <w:rPr>
                <w:b/>
                <w:bCs/>
                <w:color w:val="000000"/>
                <w:sz w:val="15"/>
                <w:szCs w:val="15"/>
              </w:rPr>
              <w:t xml:space="preserve">% </w:t>
            </w:r>
          </w:p>
          <w:p w14:paraId="2F6B8499" w14:textId="77777777" w:rsidR="00F17045" w:rsidRPr="0030410D" w:rsidRDefault="00F17045" w:rsidP="00C11675">
            <w:pPr>
              <w:jc w:val="center"/>
              <w:rPr>
                <w:b/>
                <w:bCs/>
                <w:color w:val="000000"/>
                <w:sz w:val="15"/>
                <w:szCs w:val="15"/>
              </w:rPr>
            </w:pPr>
            <w:r w:rsidRPr="0030410D">
              <w:rPr>
                <w:b/>
                <w:bCs/>
                <w:color w:val="000000"/>
                <w:sz w:val="15"/>
                <w:szCs w:val="15"/>
              </w:rPr>
              <w:t>príspevok k</w:t>
            </w:r>
            <w:r>
              <w:rPr>
                <w:b/>
                <w:bCs/>
                <w:color w:val="000000"/>
                <w:sz w:val="15"/>
                <w:szCs w:val="15"/>
              </w:rPr>
              <w:t> </w:t>
            </w:r>
            <w:r w:rsidRPr="0030410D">
              <w:rPr>
                <w:b/>
                <w:bCs/>
                <w:color w:val="000000"/>
                <w:sz w:val="15"/>
                <w:szCs w:val="15"/>
              </w:rPr>
              <w:t>zmene klímy</w:t>
            </w:r>
          </w:p>
        </w:tc>
        <w:tc>
          <w:tcPr>
            <w:tcW w:w="1275" w:type="dxa"/>
            <w:vMerge w:val="restart"/>
            <w:tcBorders>
              <w:top w:val="single" w:sz="8" w:space="0" w:color="4E67C8"/>
              <w:left w:val="single" w:sz="8" w:space="0" w:color="4E67C8"/>
              <w:right w:val="single" w:sz="8" w:space="0" w:color="4E67C8"/>
            </w:tcBorders>
            <w:vAlign w:val="center"/>
          </w:tcPr>
          <w:p w14:paraId="4ACA9FD9" w14:textId="77777777" w:rsidR="00F17045" w:rsidRPr="0030410D" w:rsidRDefault="00F17045" w:rsidP="00C11675">
            <w:pPr>
              <w:jc w:val="center"/>
              <w:rPr>
                <w:b/>
                <w:bCs/>
                <w:color w:val="000000"/>
                <w:sz w:val="15"/>
                <w:szCs w:val="15"/>
              </w:rPr>
            </w:pPr>
            <w:r>
              <w:rPr>
                <w:b/>
                <w:bCs/>
                <w:color w:val="000000"/>
                <w:sz w:val="15"/>
                <w:szCs w:val="15"/>
              </w:rPr>
              <w:t xml:space="preserve">Príspevok REACT-EU k zmene klímy v EUR celkovej </w:t>
            </w:r>
          </w:p>
        </w:tc>
      </w:tr>
      <w:tr w:rsidR="00F17045" w:rsidRPr="00531545" w14:paraId="6B08D625" w14:textId="77777777" w:rsidTr="00C11675">
        <w:trPr>
          <w:trHeight w:val="184"/>
        </w:trPr>
        <w:tc>
          <w:tcPr>
            <w:tcW w:w="284" w:type="dxa"/>
            <w:vMerge/>
            <w:tcBorders>
              <w:left w:val="single" w:sz="8" w:space="0" w:color="4E67C8"/>
              <w:bottom w:val="single" w:sz="18" w:space="0" w:color="4E67C8"/>
              <w:right w:val="single" w:sz="8" w:space="0" w:color="4E67C8"/>
            </w:tcBorders>
            <w:shd w:val="clear" w:color="auto" w:fill="auto"/>
          </w:tcPr>
          <w:p w14:paraId="27BC38E9" w14:textId="77777777" w:rsidR="00F17045" w:rsidRPr="00531545" w:rsidRDefault="00F17045" w:rsidP="00C11675">
            <w:pPr>
              <w:rPr>
                <w:bCs/>
                <w:sz w:val="16"/>
                <w:szCs w:val="16"/>
              </w:rPr>
            </w:pPr>
          </w:p>
        </w:tc>
        <w:tc>
          <w:tcPr>
            <w:tcW w:w="2126" w:type="dxa"/>
            <w:vMerge/>
            <w:tcBorders>
              <w:left w:val="single" w:sz="8" w:space="0" w:color="4E67C8"/>
              <w:bottom w:val="single" w:sz="18" w:space="0" w:color="4E67C8"/>
              <w:right w:val="single" w:sz="8" w:space="0" w:color="4E67C8"/>
            </w:tcBorders>
            <w:shd w:val="clear" w:color="auto" w:fill="auto"/>
          </w:tcPr>
          <w:p w14:paraId="7ADFFA17" w14:textId="77777777" w:rsidR="00F17045" w:rsidRPr="00531545" w:rsidRDefault="00F17045" w:rsidP="00C11675">
            <w:pPr>
              <w:rPr>
                <w:b/>
                <w:bCs/>
                <w:sz w:val="16"/>
                <w:szCs w:val="16"/>
              </w:rPr>
            </w:pPr>
          </w:p>
        </w:tc>
        <w:tc>
          <w:tcPr>
            <w:tcW w:w="1145" w:type="dxa"/>
            <w:vMerge/>
            <w:tcBorders>
              <w:left w:val="single" w:sz="8" w:space="0" w:color="4E67C8"/>
              <w:bottom w:val="single" w:sz="18" w:space="0" w:color="4E67C8"/>
              <w:right w:val="single" w:sz="8" w:space="0" w:color="4E67C8"/>
            </w:tcBorders>
            <w:shd w:val="clear" w:color="auto" w:fill="auto"/>
          </w:tcPr>
          <w:p w14:paraId="7D8A2E13" w14:textId="77777777" w:rsidR="00F17045" w:rsidRPr="00531545" w:rsidRDefault="00F17045" w:rsidP="00C11675">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39169A7F" w14:textId="77777777" w:rsidR="00F17045" w:rsidRPr="00531545" w:rsidRDefault="00F17045" w:rsidP="00C11675">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3331BCE6" w14:textId="77777777" w:rsidR="00F17045" w:rsidRPr="00531545" w:rsidRDefault="00F17045" w:rsidP="00C11675">
            <w:pPr>
              <w:rPr>
                <w:b/>
                <w:bCs/>
                <w:sz w:val="16"/>
                <w:szCs w:val="16"/>
              </w:rPr>
            </w:pPr>
          </w:p>
        </w:tc>
        <w:tc>
          <w:tcPr>
            <w:tcW w:w="1144" w:type="dxa"/>
            <w:vMerge/>
            <w:tcBorders>
              <w:left w:val="single" w:sz="8" w:space="0" w:color="4E67C8"/>
              <w:bottom w:val="single" w:sz="18" w:space="0" w:color="4E67C8"/>
              <w:right w:val="single" w:sz="8" w:space="0" w:color="4E67C8"/>
            </w:tcBorders>
            <w:shd w:val="clear" w:color="auto" w:fill="auto"/>
          </w:tcPr>
          <w:p w14:paraId="16289754" w14:textId="77777777" w:rsidR="00F17045" w:rsidRPr="00531545" w:rsidRDefault="00F17045" w:rsidP="00C11675">
            <w:pPr>
              <w:rPr>
                <w:b/>
                <w:bCs/>
                <w:sz w:val="16"/>
                <w:szCs w:val="16"/>
              </w:rPr>
            </w:pPr>
          </w:p>
        </w:tc>
        <w:tc>
          <w:tcPr>
            <w:tcW w:w="1124" w:type="dxa"/>
            <w:vMerge/>
            <w:tcBorders>
              <w:left w:val="single" w:sz="8" w:space="0" w:color="4E67C8"/>
              <w:bottom w:val="single" w:sz="18" w:space="0" w:color="4E67C8"/>
              <w:right w:val="single" w:sz="8" w:space="0" w:color="4E67C8"/>
            </w:tcBorders>
          </w:tcPr>
          <w:p w14:paraId="2E4227D7" w14:textId="77777777" w:rsidR="00F17045" w:rsidRPr="00531545" w:rsidRDefault="00F17045" w:rsidP="00C11675">
            <w:pPr>
              <w:rPr>
                <w:b/>
                <w:bCs/>
                <w:sz w:val="16"/>
                <w:szCs w:val="16"/>
              </w:rPr>
            </w:pPr>
          </w:p>
        </w:tc>
        <w:tc>
          <w:tcPr>
            <w:tcW w:w="1275" w:type="dxa"/>
            <w:vMerge/>
            <w:tcBorders>
              <w:left w:val="single" w:sz="8" w:space="0" w:color="4E67C8"/>
              <w:bottom w:val="single" w:sz="18" w:space="0" w:color="4E67C8"/>
              <w:right w:val="single" w:sz="8" w:space="0" w:color="4E67C8"/>
            </w:tcBorders>
          </w:tcPr>
          <w:p w14:paraId="3AFF3108" w14:textId="77777777" w:rsidR="00F17045" w:rsidRPr="00531545" w:rsidRDefault="00F17045" w:rsidP="00C11675">
            <w:pPr>
              <w:rPr>
                <w:b/>
                <w:bCs/>
                <w:sz w:val="16"/>
                <w:szCs w:val="16"/>
              </w:rPr>
            </w:pPr>
          </w:p>
        </w:tc>
      </w:tr>
      <w:tr w:rsidR="00F17045" w:rsidRPr="00531545" w14:paraId="499F82F0"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0C4C44" w14:textId="77777777" w:rsidR="00F17045" w:rsidRPr="00526D93" w:rsidRDefault="00F17045" w:rsidP="00C11675">
            <w:pPr>
              <w:jc w:val="center"/>
              <w:rPr>
                <w:bCs/>
                <w:sz w:val="16"/>
                <w:szCs w:val="16"/>
              </w:rPr>
            </w:pPr>
            <w:r w:rsidRPr="00526D93">
              <w:rPr>
                <w:bCs/>
                <w:sz w:val="16"/>
                <w:szCs w:val="16"/>
              </w:rPr>
              <w:t>1</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BD6AC3C" w14:textId="77777777" w:rsidR="00F17045" w:rsidRPr="003B3259" w:rsidRDefault="00F17045" w:rsidP="00C11675">
            <w:pPr>
              <w:rPr>
                <w:bCs/>
                <w:sz w:val="16"/>
                <w:szCs w:val="16"/>
                <w:lang w:val="en-GB"/>
              </w:rPr>
            </w:pPr>
            <w:r w:rsidRPr="00A15F64">
              <w:rPr>
                <w:sz w:val="16"/>
                <w:szCs w:val="16"/>
              </w:rPr>
              <w:t xml:space="preserve">7.1. </w:t>
            </w:r>
            <w:r w:rsidRPr="00A15F64">
              <w:rPr>
                <w:iCs/>
                <w:sz w:val="16"/>
                <w:szCs w:val="16"/>
              </w:rPr>
              <w:t>Zvýšenie atraktivity a konkurencieschopnosti verejnej osobnej dopravy</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59A6A57" w14:textId="77777777" w:rsidR="00F17045" w:rsidRPr="00526D93" w:rsidRDefault="00F17045" w:rsidP="00C11675">
            <w:pPr>
              <w:jc w:val="right"/>
              <w:rPr>
                <w:color w:val="000000"/>
                <w:sz w:val="16"/>
                <w:szCs w:val="16"/>
              </w:rPr>
            </w:pPr>
            <w:r w:rsidRPr="00526D93">
              <w:rPr>
                <w:color w:val="000000"/>
                <w:sz w:val="16"/>
                <w:szCs w:val="16"/>
              </w:rPr>
              <w:t>8 600 000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FEE5EDA" w14:textId="77777777" w:rsidR="00F17045" w:rsidRPr="00526D93" w:rsidRDefault="00F17045" w:rsidP="00C11675">
            <w:pPr>
              <w:jc w:val="right"/>
              <w:rPr>
                <w:color w:val="000000"/>
                <w:sz w:val="16"/>
                <w:szCs w:val="16"/>
              </w:rPr>
            </w:pPr>
            <w:r w:rsidRPr="00526D93">
              <w:rPr>
                <w:color w:val="000000"/>
                <w:sz w:val="16"/>
                <w:szCs w:val="16"/>
              </w:rPr>
              <w:t>8 600 000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6B9A377" w14:textId="77777777" w:rsidR="00F17045" w:rsidRPr="00526D93" w:rsidRDefault="00F17045" w:rsidP="00C11675">
            <w:pPr>
              <w:jc w:val="right"/>
              <w:rPr>
                <w:color w:val="000000"/>
                <w:sz w:val="16"/>
                <w:szCs w:val="16"/>
              </w:rPr>
            </w:pPr>
            <w:r>
              <w:rPr>
                <w:color w:val="000000"/>
                <w:sz w:val="16"/>
                <w:szCs w:val="16"/>
              </w:rPr>
              <w:t>N/A</w:t>
            </w:r>
          </w:p>
        </w:tc>
        <w:tc>
          <w:tcPr>
            <w:tcW w:w="1144" w:type="dxa"/>
            <w:tcBorders>
              <w:top w:val="single" w:sz="8" w:space="0" w:color="4E67C8"/>
              <w:left w:val="single" w:sz="8" w:space="0" w:color="4E67C8"/>
              <w:right w:val="single" w:sz="8" w:space="0" w:color="4E67C8"/>
            </w:tcBorders>
            <w:shd w:val="clear" w:color="auto" w:fill="auto"/>
            <w:vAlign w:val="center"/>
          </w:tcPr>
          <w:p w14:paraId="7AC0F700" w14:textId="77777777" w:rsidR="00F17045" w:rsidRDefault="00F17045" w:rsidP="00C11675">
            <w:pPr>
              <w:jc w:val="center"/>
              <w:rPr>
                <w:color w:val="000000"/>
                <w:sz w:val="16"/>
                <w:szCs w:val="16"/>
              </w:rPr>
            </w:pPr>
            <w:r w:rsidRPr="00526D93">
              <w:rPr>
                <w:color w:val="000000"/>
                <w:sz w:val="16"/>
                <w:szCs w:val="16"/>
              </w:rPr>
              <w:t>043</w:t>
            </w:r>
            <w:r>
              <w:rPr>
                <w:color w:val="000000"/>
                <w:sz w:val="16"/>
                <w:szCs w:val="16"/>
              </w:rPr>
              <w:t>,</w:t>
            </w:r>
          </w:p>
          <w:p w14:paraId="57D0B4FB" w14:textId="77777777" w:rsidR="00F17045" w:rsidRPr="00526D93" w:rsidRDefault="00F17045" w:rsidP="00C11675">
            <w:pPr>
              <w:jc w:val="center"/>
              <w:rPr>
                <w:color w:val="000000"/>
                <w:sz w:val="16"/>
                <w:szCs w:val="16"/>
              </w:rPr>
            </w:pPr>
            <w:r>
              <w:rPr>
                <w:color w:val="000000"/>
                <w:sz w:val="16"/>
                <w:szCs w:val="16"/>
              </w:rPr>
              <w:t>044</w:t>
            </w:r>
          </w:p>
        </w:tc>
        <w:tc>
          <w:tcPr>
            <w:tcW w:w="1124" w:type="dxa"/>
            <w:tcBorders>
              <w:top w:val="single" w:sz="8" w:space="0" w:color="4E67C8"/>
              <w:left w:val="single" w:sz="8" w:space="0" w:color="4E67C8"/>
              <w:right w:val="single" w:sz="8" w:space="0" w:color="4E67C8"/>
            </w:tcBorders>
            <w:shd w:val="clear" w:color="auto" w:fill="auto"/>
            <w:vAlign w:val="center"/>
          </w:tcPr>
          <w:p w14:paraId="7CBBF64B" w14:textId="77777777" w:rsidR="00F17045" w:rsidRPr="00526D93" w:rsidRDefault="00F17045" w:rsidP="00C11675">
            <w:pPr>
              <w:jc w:val="center"/>
              <w:rPr>
                <w:color w:val="000000"/>
                <w:sz w:val="16"/>
                <w:szCs w:val="16"/>
              </w:rPr>
            </w:pPr>
            <w:r w:rsidRPr="00526D93">
              <w:rPr>
                <w:color w:val="000000"/>
                <w:sz w:val="16"/>
                <w:szCs w:val="16"/>
              </w:rPr>
              <w:t>40%</w:t>
            </w:r>
          </w:p>
        </w:tc>
        <w:tc>
          <w:tcPr>
            <w:tcW w:w="1275" w:type="dxa"/>
            <w:vAlign w:val="center"/>
          </w:tcPr>
          <w:p w14:paraId="51E497C7" w14:textId="77777777" w:rsidR="00F17045" w:rsidRPr="00526D93" w:rsidRDefault="00F17045" w:rsidP="00C11675">
            <w:pPr>
              <w:jc w:val="right"/>
              <w:rPr>
                <w:color w:val="000000"/>
                <w:sz w:val="16"/>
                <w:szCs w:val="16"/>
              </w:rPr>
            </w:pPr>
            <w:r>
              <w:rPr>
                <w:color w:val="000000"/>
                <w:sz w:val="16"/>
                <w:szCs w:val="16"/>
              </w:rPr>
              <w:t>3</w:t>
            </w:r>
            <w:r w:rsidRPr="00526D93">
              <w:rPr>
                <w:color w:val="000000"/>
                <w:sz w:val="16"/>
                <w:szCs w:val="16"/>
              </w:rPr>
              <w:t xml:space="preserve"> 400 000   </w:t>
            </w:r>
          </w:p>
        </w:tc>
      </w:tr>
      <w:tr w:rsidR="00F17045" w:rsidRPr="00526D93" w14:paraId="3B20C5A8"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76EFC45" w14:textId="77777777" w:rsidR="00F17045" w:rsidRPr="00526D93" w:rsidRDefault="00F17045" w:rsidP="00C11675">
            <w:pPr>
              <w:jc w:val="center"/>
              <w:rPr>
                <w:color w:val="000000"/>
                <w:sz w:val="16"/>
                <w:szCs w:val="16"/>
              </w:rPr>
            </w:pPr>
            <w:r>
              <w:rPr>
                <w:color w:val="000000"/>
                <w:sz w:val="16"/>
                <w:szCs w:val="16"/>
              </w:rPr>
              <w:t>2</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7D096B1" w14:textId="77777777" w:rsidR="00F17045" w:rsidRPr="003B3259" w:rsidRDefault="00F17045" w:rsidP="00C11675">
            <w:pPr>
              <w:rPr>
                <w:color w:val="000000"/>
                <w:sz w:val="16"/>
                <w:szCs w:val="16"/>
                <w:lang w:val="en-GB"/>
              </w:rPr>
            </w:pPr>
            <w:r w:rsidRPr="00A15F64">
              <w:rPr>
                <w:sz w:val="16"/>
                <w:szCs w:val="16"/>
              </w:rPr>
              <w:t xml:space="preserve">7.2. </w:t>
            </w:r>
            <w:r w:rsidRPr="00A15F64">
              <w:rPr>
                <w:iCs/>
                <w:sz w:val="16"/>
                <w:szCs w:val="16"/>
              </w:rPr>
              <w:t>Zvýšenie atraktivity a prepravnej kapacity nemotorovej dopravy (predovšetkým cyklistickej dopravy) na celkovom počte prepravených osôb</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831E3E9" w14:textId="77777777" w:rsidR="00F17045" w:rsidRPr="00526D93" w:rsidRDefault="00F17045" w:rsidP="00C11675">
            <w:pPr>
              <w:jc w:val="right"/>
              <w:rPr>
                <w:color w:val="000000"/>
                <w:sz w:val="16"/>
                <w:szCs w:val="16"/>
              </w:rPr>
            </w:pPr>
            <w:r w:rsidRPr="00636DF4">
              <w:rPr>
                <w:color w:val="000000"/>
                <w:sz w:val="16"/>
                <w:szCs w:val="16"/>
              </w:rPr>
              <w:t>30 234 489</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0132CB" w14:textId="77777777" w:rsidR="00F17045" w:rsidRPr="00526D93" w:rsidRDefault="00F17045" w:rsidP="00C11675">
            <w:pPr>
              <w:jc w:val="right"/>
              <w:rPr>
                <w:color w:val="000000"/>
                <w:sz w:val="16"/>
                <w:szCs w:val="16"/>
              </w:rPr>
            </w:pPr>
            <w:r w:rsidRPr="00526D93">
              <w:rPr>
                <w:color w:val="000000"/>
                <w:sz w:val="16"/>
                <w:szCs w:val="16"/>
              </w:rPr>
              <w:t>24 230 000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20664B8" w14:textId="77777777" w:rsidR="00F17045" w:rsidRPr="00526D93" w:rsidRDefault="00F17045" w:rsidP="00C11675">
            <w:pPr>
              <w:jc w:val="right"/>
              <w:rPr>
                <w:color w:val="000000"/>
                <w:sz w:val="16"/>
                <w:szCs w:val="16"/>
              </w:rPr>
            </w:pPr>
            <w:r w:rsidRPr="00636DF4">
              <w:rPr>
                <w:color w:val="000000"/>
                <w:sz w:val="16"/>
                <w:szCs w:val="16"/>
              </w:rPr>
              <w:t>6 004 489</w:t>
            </w:r>
          </w:p>
        </w:tc>
        <w:tc>
          <w:tcPr>
            <w:tcW w:w="1144" w:type="dxa"/>
            <w:tcBorders>
              <w:left w:val="single" w:sz="8" w:space="0" w:color="4E67C8"/>
              <w:right w:val="single" w:sz="8" w:space="0" w:color="4E67C8"/>
            </w:tcBorders>
            <w:shd w:val="clear" w:color="auto" w:fill="auto"/>
            <w:vAlign w:val="center"/>
          </w:tcPr>
          <w:p w14:paraId="5A52D1EA" w14:textId="77777777" w:rsidR="00F17045" w:rsidRPr="00526D93" w:rsidRDefault="00F17045" w:rsidP="00C11675">
            <w:pPr>
              <w:jc w:val="center"/>
              <w:rPr>
                <w:color w:val="000000"/>
                <w:sz w:val="16"/>
                <w:szCs w:val="16"/>
              </w:rPr>
            </w:pPr>
            <w:r w:rsidRPr="00526D93">
              <w:rPr>
                <w:color w:val="000000"/>
                <w:sz w:val="16"/>
                <w:szCs w:val="16"/>
              </w:rPr>
              <w:t>090</w:t>
            </w:r>
          </w:p>
        </w:tc>
        <w:tc>
          <w:tcPr>
            <w:tcW w:w="1124" w:type="dxa"/>
            <w:tcBorders>
              <w:left w:val="single" w:sz="8" w:space="0" w:color="4E67C8"/>
              <w:right w:val="single" w:sz="8" w:space="0" w:color="4E67C8"/>
            </w:tcBorders>
            <w:shd w:val="clear" w:color="auto" w:fill="auto"/>
            <w:vAlign w:val="center"/>
          </w:tcPr>
          <w:p w14:paraId="364BED81" w14:textId="77777777" w:rsidR="00F17045" w:rsidRPr="00526D93" w:rsidRDefault="00F17045" w:rsidP="00C11675">
            <w:pPr>
              <w:jc w:val="center"/>
              <w:rPr>
                <w:color w:val="000000"/>
                <w:sz w:val="16"/>
                <w:szCs w:val="16"/>
              </w:rPr>
            </w:pPr>
            <w:r w:rsidRPr="00526D93">
              <w:rPr>
                <w:color w:val="000000"/>
                <w:sz w:val="16"/>
                <w:szCs w:val="16"/>
              </w:rPr>
              <w:t>100%</w:t>
            </w:r>
          </w:p>
        </w:tc>
        <w:tc>
          <w:tcPr>
            <w:tcW w:w="1275" w:type="dxa"/>
            <w:vAlign w:val="center"/>
          </w:tcPr>
          <w:p w14:paraId="19E32C22" w14:textId="77777777" w:rsidR="00F17045" w:rsidRPr="00526D93" w:rsidRDefault="00F17045" w:rsidP="00C11675">
            <w:pPr>
              <w:jc w:val="right"/>
              <w:rPr>
                <w:color w:val="000000"/>
                <w:sz w:val="16"/>
                <w:szCs w:val="16"/>
              </w:rPr>
            </w:pPr>
            <w:r w:rsidRPr="00636DF4">
              <w:rPr>
                <w:color w:val="000000"/>
                <w:sz w:val="16"/>
                <w:szCs w:val="16"/>
              </w:rPr>
              <w:t>30 234 489</w:t>
            </w:r>
          </w:p>
        </w:tc>
      </w:tr>
      <w:tr w:rsidR="00F17045" w:rsidRPr="00526D93" w14:paraId="1CFB9D68"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34B856F" w14:textId="77777777" w:rsidR="00F17045" w:rsidRPr="00526D93" w:rsidRDefault="00F17045" w:rsidP="00C11675">
            <w:pPr>
              <w:jc w:val="center"/>
              <w:rPr>
                <w:color w:val="000000"/>
                <w:sz w:val="16"/>
                <w:szCs w:val="16"/>
              </w:rPr>
            </w:pPr>
            <w:r>
              <w:rPr>
                <w:color w:val="000000"/>
                <w:sz w:val="16"/>
                <w:szCs w:val="16"/>
              </w:rPr>
              <w:t>3</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34AF780" w14:textId="77777777" w:rsidR="00F17045" w:rsidRPr="003B3259" w:rsidRDefault="00F17045" w:rsidP="00C11675">
            <w:pPr>
              <w:rPr>
                <w:color w:val="000000"/>
                <w:sz w:val="16"/>
                <w:szCs w:val="16"/>
                <w:lang w:val="en-GB"/>
              </w:rPr>
            </w:pPr>
            <w:r w:rsidRPr="00A15F64">
              <w:rPr>
                <w:sz w:val="16"/>
                <w:szCs w:val="16"/>
              </w:rPr>
              <w:t>7.3. Zlepšenie environmentálnych aspektov v mestách a mestských oblastiach</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E05ACDC" w14:textId="77777777" w:rsidR="00F17045" w:rsidRPr="00526D93" w:rsidRDefault="00F17045" w:rsidP="00C11675">
            <w:pPr>
              <w:jc w:val="right"/>
              <w:rPr>
                <w:color w:val="000000"/>
                <w:sz w:val="16"/>
                <w:szCs w:val="16"/>
              </w:rPr>
            </w:pPr>
            <w:r w:rsidRPr="00526D93">
              <w:rPr>
                <w:color w:val="000000"/>
                <w:sz w:val="16"/>
                <w:szCs w:val="16"/>
              </w:rPr>
              <w:t>13 285 195</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AC55914" w14:textId="77777777" w:rsidR="00F17045" w:rsidRPr="00526D93" w:rsidRDefault="00F17045" w:rsidP="00C11675">
            <w:pPr>
              <w:jc w:val="right"/>
              <w:rPr>
                <w:color w:val="000000"/>
                <w:sz w:val="16"/>
                <w:szCs w:val="16"/>
              </w:rPr>
            </w:pPr>
            <w:r w:rsidRPr="00526D93">
              <w:rPr>
                <w:color w:val="000000"/>
                <w:sz w:val="16"/>
                <w:szCs w:val="16"/>
              </w:rPr>
              <w:t>13 285 195</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F70FFC" w14:textId="77777777" w:rsidR="00F17045" w:rsidRPr="00526D93" w:rsidRDefault="00F17045" w:rsidP="00C11675">
            <w:pPr>
              <w:jc w:val="right"/>
              <w:rPr>
                <w:color w:val="000000"/>
                <w:sz w:val="16"/>
                <w:szCs w:val="16"/>
              </w:rPr>
            </w:pPr>
            <w:r>
              <w:rPr>
                <w:color w:val="000000"/>
                <w:sz w:val="16"/>
                <w:szCs w:val="16"/>
              </w:rPr>
              <w:t>N(A</w:t>
            </w:r>
          </w:p>
        </w:tc>
        <w:tc>
          <w:tcPr>
            <w:tcW w:w="1144" w:type="dxa"/>
            <w:tcBorders>
              <w:left w:val="single" w:sz="8" w:space="0" w:color="4E67C8"/>
              <w:right w:val="single" w:sz="8" w:space="0" w:color="4E67C8"/>
            </w:tcBorders>
            <w:shd w:val="clear" w:color="auto" w:fill="auto"/>
            <w:vAlign w:val="center"/>
          </w:tcPr>
          <w:p w14:paraId="642D0778" w14:textId="77777777" w:rsidR="00F17045" w:rsidRPr="00526D93" w:rsidRDefault="00F17045" w:rsidP="00C11675">
            <w:pPr>
              <w:jc w:val="center"/>
              <w:rPr>
                <w:color w:val="000000"/>
                <w:sz w:val="16"/>
                <w:szCs w:val="16"/>
              </w:rPr>
            </w:pPr>
            <w:r w:rsidRPr="00526D93">
              <w:rPr>
                <w:color w:val="000000"/>
                <w:sz w:val="16"/>
                <w:szCs w:val="16"/>
              </w:rPr>
              <w:t>085</w:t>
            </w:r>
          </w:p>
        </w:tc>
        <w:tc>
          <w:tcPr>
            <w:tcW w:w="1124" w:type="dxa"/>
            <w:tcBorders>
              <w:left w:val="single" w:sz="8" w:space="0" w:color="4E67C8"/>
              <w:right w:val="single" w:sz="8" w:space="0" w:color="4E67C8"/>
            </w:tcBorders>
            <w:shd w:val="clear" w:color="auto" w:fill="auto"/>
            <w:vAlign w:val="center"/>
          </w:tcPr>
          <w:p w14:paraId="2E846707" w14:textId="77777777" w:rsidR="00F17045" w:rsidRPr="00526D93" w:rsidRDefault="00F17045" w:rsidP="00C11675">
            <w:pPr>
              <w:jc w:val="center"/>
              <w:rPr>
                <w:color w:val="000000"/>
                <w:sz w:val="16"/>
                <w:szCs w:val="16"/>
              </w:rPr>
            </w:pPr>
            <w:r w:rsidRPr="00526D93">
              <w:rPr>
                <w:color w:val="000000"/>
                <w:sz w:val="16"/>
                <w:szCs w:val="16"/>
              </w:rPr>
              <w:t>40%</w:t>
            </w:r>
          </w:p>
        </w:tc>
        <w:tc>
          <w:tcPr>
            <w:tcW w:w="1275" w:type="dxa"/>
            <w:vAlign w:val="center"/>
          </w:tcPr>
          <w:p w14:paraId="2871489E" w14:textId="77777777" w:rsidR="00F17045" w:rsidRPr="00526D93" w:rsidRDefault="00F17045" w:rsidP="00C11675">
            <w:pPr>
              <w:jc w:val="right"/>
              <w:rPr>
                <w:color w:val="000000"/>
                <w:sz w:val="16"/>
                <w:szCs w:val="16"/>
              </w:rPr>
            </w:pPr>
            <w:r w:rsidRPr="00C35D5A">
              <w:rPr>
                <w:color w:val="000000"/>
                <w:sz w:val="16"/>
                <w:szCs w:val="16"/>
              </w:rPr>
              <w:t>5 314 078</w:t>
            </w:r>
          </w:p>
        </w:tc>
      </w:tr>
      <w:tr w:rsidR="00F17045" w:rsidRPr="00526D93" w14:paraId="4E8B5A8C"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BD2679C" w14:textId="77777777" w:rsidR="00F17045" w:rsidRPr="00526D93" w:rsidRDefault="00F17045" w:rsidP="00C11675">
            <w:pPr>
              <w:jc w:val="center"/>
              <w:rPr>
                <w:color w:val="000000"/>
                <w:sz w:val="16"/>
                <w:szCs w:val="16"/>
              </w:rPr>
            </w:pPr>
            <w:r>
              <w:rPr>
                <w:color w:val="000000"/>
                <w:sz w:val="16"/>
                <w:szCs w:val="16"/>
              </w:rPr>
              <w:t>4</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1DDBACA" w14:textId="77777777" w:rsidR="00F17045" w:rsidRPr="003B3259" w:rsidRDefault="00F17045" w:rsidP="00C11675">
            <w:pPr>
              <w:rPr>
                <w:color w:val="000000"/>
                <w:sz w:val="16"/>
                <w:szCs w:val="16"/>
                <w:lang w:val="en-GB"/>
              </w:rPr>
            </w:pPr>
            <w:r w:rsidRPr="00A15F64">
              <w:rPr>
                <w:sz w:val="16"/>
                <w:szCs w:val="16"/>
              </w:rPr>
              <w:t>7.4. Zvýšenie kapacít základných škôl v Bratislavskom kraji</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253BF9C" w14:textId="77777777" w:rsidR="00F17045" w:rsidRDefault="00F17045" w:rsidP="00C11675">
            <w:pPr>
              <w:jc w:val="right"/>
              <w:rPr>
                <w:color w:val="000000"/>
                <w:sz w:val="16"/>
                <w:szCs w:val="16"/>
              </w:rPr>
            </w:pPr>
            <w:r w:rsidRPr="00636DF4">
              <w:rPr>
                <w:color w:val="000000"/>
                <w:sz w:val="16"/>
                <w:szCs w:val="16"/>
              </w:rPr>
              <w:t>61 264</w:t>
            </w:r>
            <w:r>
              <w:rPr>
                <w:color w:val="000000"/>
                <w:sz w:val="16"/>
                <w:szCs w:val="16"/>
              </w:rPr>
              <w:t> </w:t>
            </w:r>
            <w:r w:rsidRPr="00636DF4">
              <w:rPr>
                <w:color w:val="000000"/>
                <w:sz w:val="16"/>
                <w:szCs w:val="16"/>
              </w:rPr>
              <w:t>400</w:t>
            </w:r>
          </w:p>
          <w:p w14:paraId="21EA908D" w14:textId="77777777" w:rsidR="00F17045" w:rsidRPr="00526D93" w:rsidRDefault="00F17045" w:rsidP="00C11675">
            <w:pPr>
              <w:jc w:val="right"/>
              <w:rPr>
                <w:color w:val="000000"/>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B832A3" w14:textId="77777777" w:rsidR="00F17045" w:rsidRDefault="00F17045" w:rsidP="00C11675">
            <w:pPr>
              <w:jc w:val="right"/>
              <w:rPr>
                <w:color w:val="000000"/>
                <w:sz w:val="16"/>
                <w:szCs w:val="16"/>
              </w:rPr>
            </w:pPr>
            <w:r>
              <w:rPr>
                <w:color w:val="000000"/>
                <w:sz w:val="16"/>
                <w:szCs w:val="16"/>
              </w:rPr>
              <w:t> </w:t>
            </w:r>
          </w:p>
          <w:p w14:paraId="3B7B60A5" w14:textId="77777777" w:rsidR="00F17045" w:rsidRPr="00526D93" w:rsidRDefault="00F17045" w:rsidP="00C11675">
            <w:pPr>
              <w:jc w:val="right"/>
              <w:rPr>
                <w:color w:val="000000"/>
                <w:sz w:val="16"/>
                <w:szCs w:val="16"/>
              </w:rPr>
            </w:pPr>
            <w:r w:rsidRPr="00526D93">
              <w:rPr>
                <w:color w:val="000000"/>
                <w:sz w:val="16"/>
                <w:szCs w:val="16"/>
              </w:rPr>
              <w:t>31 264</w:t>
            </w:r>
            <w:r>
              <w:rPr>
                <w:color w:val="000000"/>
                <w:sz w:val="16"/>
                <w:szCs w:val="16"/>
              </w:rPr>
              <w:t> </w:t>
            </w:r>
            <w:r w:rsidRPr="00526D93">
              <w:rPr>
                <w:color w:val="000000"/>
                <w:sz w:val="16"/>
                <w:szCs w:val="16"/>
              </w:rPr>
              <w:t>400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7377415" w14:textId="77777777" w:rsidR="00F17045" w:rsidRDefault="00F17045" w:rsidP="00C11675">
            <w:pPr>
              <w:jc w:val="right"/>
              <w:rPr>
                <w:color w:val="000000"/>
                <w:sz w:val="16"/>
                <w:szCs w:val="16"/>
              </w:rPr>
            </w:pPr>
            <w:r w:rsidRPr="00636DF4">
              <w:rPr>
                <w:color w:val="000000"/>
                <w:sz w:val="16"/>
                <w:szCs w:val="16"/>
              </w:rPr>
              <w:t>30 000</w:t>
            </w:r>
            <w:r>
              <w:rPr>
                <w:color w:val="000000"/>
                <w:sz w:val="16"/>
                <w:szCs w:val="16"/>
              </w:rPr>
              <w:t> </w:t>
            </w:r>
            <w:r w:rsidRPr="00636DF4">
              <w:rPr>
                <w:color w:val="000000"/>
                <w:sz w:val="16"/>
                <w:szCs w:val="16"/>
              </w:rPr>
              <w:t>000</w:t>
            </w:r>
          </w:p>
          <w:p w14:paraId="756D10CF" w14:textId="77777777" w:rsidR="00F17045" w:rsidRPr="00526D93" w:rsidRDefault="00F17045" w:rsidP="00C11675">
            <w:pPr>
              <w:jc w:val="right"/>
              <w:rPr>
                <w:color w:val="000000"/>
                <w:sz w:val="16"/>
                <w:szCs w:val="16"/>
              </w:rPr>
            </w:pPr>
          </w:p>
        </w:tc>
        <w:tc>
          <w:tcPr>
            <w:tcW w:w="1144" w:type="dxa"/>
            <w:tcBorders>
              <w:left w:val="single" w:sz="8" w:space="0" w:color="4E67C8"/>
              <w:right w:val="single" w:sz="8" w:space="0" w:color="4E67C8"/>
            </w:tcBorders>
            <w:shd w:val="clear" w:color="auto" w:fill="auto"/>
            <w:vAlign w:val="center"/>
          </w:tcPr>
          <w:p w14:paraId="742AC477" w14:textId="77777777" w:rsidR="00F17045" w:rsidRPr="00526D93" w:rsidRDefault="00F17045" w:rsidP="00C11675">
            <w:pPr>
              <w:jc w:val="center"/>
              <w:rPr>
                <w:color w:val="000000"/>
                <w:sz w:val="16"/>
                <w:szCs w:val="16"/>
              </w:rPr>
            </w:pPr>
            <w:r w:rsidRPr="00526D93">
              <w:rPr>
                <w:color w:val="000000"/>
                <w:sz w:val="16"/>
                <w:szCs w:val="16"/>
              </w:rPr>
              <w:t>050</w:t>
            </w:r>
          </w:p>
        </w:tc>
        <w:tc>
          <w:tcPr>
            <w:tcW w:w="1124" w:type="dxa"/>
            <w:tcBorders>
              <w:left w:val="single" w:sz="8" w:space="0" w:color="4E67C8"/>
              <w:right w:val="single" w:sz="8" w:space="0" w:color="4E67C8"/>
            </w:tcBorders>
            <w:shd w:val="clear" w:color="auto" w:fill="auto"/>
            <w:vAlign w:val="center"/>
          </w:tcPr>
          <w:p w14:paraId="27BFFF65"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0BB58A67"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26D93" w14:paraId="126B21E9"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31D917D" w14:textId="77777777" w:rsidR="00F17045" w:rsidRPr="00526D93" w:rsidRDefault="00F17045" w:rsidP="00C11675">
            <w:pPr>
              <w:jc w:val="center"/>
              <w:rPr>
                <w:color w:val="000000"/>
                <w:sz w:val="16"/>
                <w:szCs w:val="16"/>
              </w:rPr>
            </w:pPr>
            <w:r>
              <w:rPr>
                <w:color w:val="000000"/>
                <w:sz w:val="16"/>
                <w:szCs w:val="16"/>
              </w:rPr>
              <w:t>5</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0634014" w14:textId="77777777" w:rsidR="00F17045" w:rsidRPr="003B3259" w:rsidRDefault="00F17045" w:rsidP="00C11675">
            <w:pPr>
              <w:rPr>
                <w:color w:val="000000"/>
                <w:sz w:val="16"/>
                <w:szCs w:val="16"/>
                <w:lang w:val="en-GB"/>
              </w:rPr>
            </w:pPr>
            <w:r w:rsidRPr="00A15F64">
              <w:rPr>
                <w:sz w:val="16"/>
                <w:szCs w:val="16"/>
              </w:rPr>
              <w:t xml:space="preserve">7.5. </w:t>
            </w:r>
            <w:r w:rsidRPr="00A15F64">
              <w:rPr>
                <w:iCs/>
                <w:sz w:val="16"/>
                <w:szCs w:val="16"/>
              </w:rPr>
              <w:t>Zvýšenie počtu žiakov stredných odborných škôl na praktickom vyučovaní v Banskobystrickom kraji</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A9E06AC" w14:textId="77777777" w:rsidR="00F17045" w:rsidRDefault="00F17045" w:rsidP="00C11675">
            <w:pPr>
              <w:jc w:val="right"/>
              <w:rPr>
                <w:color w:val="000000"/>
                <w:sz w:val="16"/>
                <w:szCs w:val="16"/>
              </w:rPr>
            </w:pPr>
            <w:r>
              <w:rPr>
                <w:color w:val="000000"/>
                <w:sz w:val="16"/>
                <w:szCs w:val="16"/>
              </w:rPr>
              <w:t> </w:t>
            </w:r>
          </w:p>
          <w:p w14:paraId="4B72D24B" w14:textId="77777777" w:rsidR="00F17045" w:rsidRPr="00526D93" w:rsidRDefault="00F17045" w:rsidP="00C11675">
            <w:pPr>
              <w:jc w:val="right"/>
              <w:rPr>
                <w:color w:val="000000"/>
                <w:sz w:val="16"/>
                <w:szCs w:val="16"/>
              </w:rPr>
            </w:pPr>
            <w:r w:rsidRPr="00526D93">
              <w:rPr>
                <w:color w:val="000000"/>
                <w:sz w:val="16"/>
                <w:szCs w:val="16"/>
              </w:rPr>
              <w:t>23 448 300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FA70F9" w14:textId="77777777" w:rsidR="00F17045" w:rsidRDefault="00F17045" w:rsidP="00C11675">
            <w:pPr>
              <w:jc w:val="right"/>
              <w:rPr>
                <w:color w:val="000000"/>
                <w:sz w:val="16"/>
                <w:szCs w:val="16"/>
              </w:rPr>
            </w:pPr>
            <w:r>
              <w:rPr>
                <w:color w:val="000000"/>
                <w:sz w:val="16"/>
                <w:szCs w:val="16"/>
              </w:rPr>
              <w:t> </w:t>
            </w:r>
          </w:p>
          <w:p w14:paraId="38CCBF3F" w14:textId="77777777" w:rsidR="00F17045" w:rsidRPr="00526D93" w:rsidRDefault="00F17045" w:rsidP="00C11675">
            <w:pPr>
              <w:jc w:val="right"/>
              <w:rPr>
                <w:color w:val="000000"/>
                <w:sz w:val="16"/>
                <w:szCs w:val="16"/>
              </w:rPr>
            </w:pPr>
            <w:r w:rsidRPr="00526D93">
              <w:rPr>
                <w:color w:val="000000"/>
                <w:sz w:val="16"/>
                <w:szCs w:val="16"/>
              </w:rPr>
              <w:t>23 448 300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D1B5F8" w14:textId="77777777" w:rsidR="00F17045" w:rsidRDefault="00F17045" w:rsidP="00C11675">
            <w:pPr>
              <w:jc w:val="right"/>
              <w:rPr>
                <w:color w:val="000000"/>
                <w:sz w:val="16"/>
                <w:szCs w:val="16"/>
              </w:rPr>
            </w:pPr>
            <w:r>
              <w:rPr>
                <w:color w:val="000000"/>
                <w:sz w:val="16"/>
                <w:szCs w:val="16"/>
              </w:rPr>
              <w:t> </w:t>
            </w:r>
          </w:p>
          <w:p w14:paraId="053EBC05" w14:textId="77777777" w:rsidR="00F17045" w:rsidRPr="00526D93" w:rsidRDefault="00F17045" w:rsidP="00C11675">
            <w:pPr>
              <w:jc w:val="right"/>
              <w:rPr>
                <w:color w:val="000000"/>
                <w:sz w:val="16"/>
                <w:szCs w:val="16"/>
              </w:rPr>
            </w:pPr>
            <w:r>
              <w:rPr>
                <w:color w:val="000000"/>
                <w:sz w:val="16"/>
                <w:szCs w:val="16"/>
              </w:rPr>
              <w:t>N/A</w:t>
            </w:r>
          </w:p>
        </w:tc>
        <w:tc>
          <w:tcPr>
            <w:tcW w:w="1144" w:type="dxa"/>
            <w:tcBorders>
              <w:left w:val="single" w:sz="8" w:space="0" w:color="4E67C8"/>
              <w:right w:val="single" w:sz="8" w:space="0" w:color="4E67C8"/>
            </w:tcBorders>
            <w:shd w:val="clear" w:color="auto" w:fill="auto"/>
            <w:vAlign w:val="center"/>
          </w:tcPr>
          <w:p w14:paraId="52BFC5E3" w14:textId="77777777" w:rsidR="00F17045" w:rsidRPr="00526D93" w:rsidRDefault="00F17045" w:rsidP="00C11675">
            <w:pPr>
              <w:jc w:val="center"/>
              <w:rPr>
                <w:color w:val="000000"/>
                <w:sz w:val="16"/>
                <w:szCs w:val="16"/>
              </w:rPr>
            </w:pPr>
            <w:r w:rsidRPr="00526D93">
              <w:rPr>
                <w:color w:val="000000"/>
                <w:sz w:val="16"/>
                <w:szCs w:val="16"/>
              </w:rPr>
              <w:t>051</w:t>
            </w:r>
          </w:p>
        </w:tc>
        <w:tc>
          <w:tcPr>
            <w:tcW w:w="1124" w:type="dxa"/>
            <w:tcBorders>
              <w:left w:val="single" w:sz="8" w:space="0" w:color="4E67C8"/>
              <w:right w:val="single" w:sz="8" w:space="0" w:color="4E67C8"/>
            </w:tcBorders>
            <w:shd w:val="clear" w:color="auto" w:fill="auto"/>
            <w:vAlign w:val="center"/>
          </w:tcPr>
          <w:p w14:paraId="2217668A"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76C58423"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26D93" w14:paraId="32C0589A"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300B067" w14:textId="77777777" w:rsidR="00F17045" w:rsidRPr="00526D93" w:rsidRDefault="00F17045" w:rsidP="00C11675">
            <w:pPr>
              <w:jc w:val="center"/>
              <w:rPr>
                <w:color w:val="000000"/>
                <w:sz w:val="16"/>
                <w:szCs w:val="16"/>
              </w:rPr>
            </w:pPr>
            <w:r>
              <w:rPr>
                <w:color w:val="000000"/>
                <w:sz w:val="16"/>
                <w:szCs w:val="16"/>
              </w:rPr>
              <w:t>6</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C7C2135" w14:textId="77777777" w:rsidR="00F17045" w:rsidRPr="003B3259" w:rsidRDefault="00F17045" w:rsidP="00C11675">
            <w:pPr>
              <w:rPr>
                <w:sz w:val="16"/>
                <w:szCs w:val="16"/>
              </w:rPr>
            </w:pPr>
            <w:r w:rsidRPr="00A15F64">
              <w:rPr>
                <w:sz w:val="16"/>
                <w:szCs w:val="16"/>
              </w:rPr>
              <w:t>7.6. Predprojektová príprava</w:t>
            </w:r>
            <w:r w:rsidRPr="003B3259">
              <w:rPr>
                <w:color w:val="000000"/>
                <w:sz w:val="16"/>
                <w:szCs w:val="16"/>
                <w:lang w:val="en-GB"/>
              </w:rPr>
              <w:t xml:space="preserve"> </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112B42B" w14:textId="77777777" w:rsidR="00F17045" w:rsidRPr="00636DF4" w:rsidRDefault="00F17045" w:rsidP="00C11675">
            <w:pPr>
              <w:jc w:val="right"/>
              <w:rPr>
                <w:color w:val="000000"/>
                <w:sz w:val="16"/>
                <w:szCs w:val="16"/>
              </w:rPr>
            </w:pPr>
            <w:r w:rsidRPr="00636DF4">
              <w:rPr>
                <w:color w:val="000000"/>
                <w:sz w:val="16"/>
                <w:szCs w:val="16"/>
              </w:rPr>
              <w:t>29 000 000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59674CB" w14:textId="77777777" w:rsidR="00F17045" w:rsidRPr="00526D93" w:rsidRDefault="00F17045" w:rsidP="00C11675">
            <w:pPr>
              <w:jc w:val="right"/>
              <w:rPr>
                <w:color w:val="000000"/>
                <w:sz w:val="16"/>
                <w:szCs w:val="16"/>
              </w:rPr>
            </w:pPr>
            <w:r w:rsidRPr="00636DF4">
              <w:rPr>
                <w:color w:val="000000"/>
                <w:sz w:val="16"/>
                <w:szCs w:val="16"/>
              </w:rPr>
              <w:t>29 000 000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80B58CE" w14:textId="77777777" w:rsidR="00F17045" w:rsidRPr="00636DF4" w:rsidRDefault="00F17045" w:rsidP="00C11675">
            <w:pPr>
              <w:jc w:val="right"/>
              <w:rPr>
                <w:color w:val="000000"/>
                <w:sz w:val="16"/>
                <w:szCs w:val="16"/>
              </w:rPr>
            </w:pPr>
            <w:r>
              <w:rPr>
                <w:color w:val="000000"/>
                <w:sz w:val="16"/>
                <w:szCs w:val="16"/>
              </w:rPr>
              <w:t>N/A</w:t>
            </w:r>
          </w:p>
        </w:tc>
        <w:tc>
          <w:tcPr>
            <w:tcW w:w="1144" w:type="dxa"/>
            <w:tcBorders>
              <w:left w:val="single" w:sz="8" w:space="0" w:color="4E67C8"/>
              <w:right w:val="single" w:sz="8" w:space="0" w:color="4E67C8"/>
            </w:tcBorders>
            <w:shd w:val="clear" w:color="auto" w:fill="auto"/>
            <w:vAlign w:val="center"/>
          </w:tcPr>
          <w:p w14:paraId="265A9999" w14:textId="77777777" w:rsidR="00F17045" w:rsidRPr="00526D93" w:rsidRDefault="00F17045" w:rsidP="00C11675">
            <w:pPr>
              <w:jc w:val="center"/>
              <w:rPr>
                <w:color w:val="000000"/>
                <w:sz w:val="16"/>
                <w:szCs w:val="16"/>
              </w:rPr>
            </w:pPr>
            <w:r w:rsidRPr="00526D93">
              <w:rPr>
                <w:color w:val="000000"/>
                <w:sz w:val="16"/>
                <w:szCs w:val="16"/>
              </w:rPr>
              <w:t>096</w:t>
            </w:r>
          </w:p>
        </w:tc>
        <w:tc>
          <w:tcPr>
            <w:tcW w:w="1124" w:type="dxa"/>
            <w:tcBorders>
              <w:left w:val="single" w:sz="8" w:space="0" w:color="4E67C8"/>
              <w:right w:val="single" w:sz="8" w:space="0" w:color="4E67C8"/>
            </w:tcBorders>
            <w:shd w:val="clear" w:color="auto" w:fill="auto"/>
            <w:vAlign w:val="center"/>
          </w:tcPr>
          <w:p w14:paraId="7CC35659"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6CD49761"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26D93" w14:paraId="77050A67"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13E93C" w14:textId="77777777" w:rsidR="00F17045" w:rsidRDefault="00F17045" w:rsidP="00C11675">
            <w:pPr>
              <w:jc w:val="center"/>
              <w:rPr>
                <w:color w:val="000000"/>
                <w:sz w:val="16"/>
                <w:szCs w:val="16"/>
              </w:rPr>
            </w:pPr>
            <w:r>
              <w:rPr>
                <w:color w:val="000000"/>
                <w:sz w:val="16"/>
                <w:szCs w:val="16"/>
              </w:rPr>
              <w:t>7</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EE75BBE" w14:textId="77777777" w:rsidR="00F17045" w:rsidRPr="00A15F64" w:rsidRDefault="00F17045" w:rsidP="00C11675">
            <w:pPr>
              <w:rPr>
                <w:sz w:val="16"/>
                <w:szCs w:val="16"/>
              </w:rPr>
            </w:pPr>
            <w:r w:rsidRPr="00A15F64">
              <w:rPr>
                <w:sz w:val="16"/>
                <w:szCs w:val="16"/>
              </w:rPr>
              <w:t>7.7. Podpora udržateľnosti a odolnosti kultúrnych inštitúcii</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CB763AA" w14:textId="77777777" w:rsidR="00F17045" w:rsidRPr="00636DF4" w:rsidRDefault="00F17045" w:rsidP="00C11675">
            <w:pPr>
              <w:jc w:val="right"/>
              <w:rPr>
                <w:color w:val="000000"/>
                <w:sz w:val="16"/>
                <w:szCs w:val="16"/>
              </w:rPr>
            </w:pPr>
            <w:r w:rsidRPr="00526D93">
              <w:rPr>
                <w:color w:val="000000"/>
                <w:sz w:val="16"/>
                <w:szCs w:val="16"/>
              </w:rPr>
              <w:t>14 850 600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27729DA" w14:textId="77777777" w:rsidR="00F17045" w:rsidRPr="00636DF4" w:rsidRDefault="00F17045" w:rsidP="00C11675">
            <w:pPr>
              <w:jc w:val="right"/>
              <w:rPr>
                <w:color w:val="000000"/>
                <w:sz w:val="16"/>
                <w:szCs w:val="16"/>
              </w:rPr>
            </w:pPr>
            <w:r w:rsidRPr="00526D93">
              <w:rPr>
                <w:color w:val="000000"/>
                <w:sz w:val="16"/>
                <w:szCs w:val="16"/>
              </w:rPr>
              <w:t>14 850 600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8D79C4" w14:textId="77777777" w:rsidR="00F17045" w:rsidRDefault="00F17045" w:rsidP="00C11675">
            <w:pPr>
              <w:jc w:val="right"/>
              <w:rPr>
                <w:color w:val="000000"/>
                <w:sz w:val="16"/>
                <w:szCs w:val="16"/>
              </w:rPr>
            </w:pPr>
            <w:r>
              <w:rPr>
                <w:color w:val="000000"/>
                <w:sz w:val="16"/>
                <w:szCs w:val="16"/>
              </w:rPr>
              <w:t>N/A</w:t>
            </w:r>
          </w:p>
        </w:tc>
        <w:tc>
          <w:tcPr>
            <w:tcW w:w="1144" w:type="dxa"/>
            <w:tcBorders>
              <w:left w:val="single" w:sz="8" w:space="0" w:color="4E67C8"/>
              <w:right w:val="single" w:sz="8" w:space="0" w:color="4E67C8"/>
            </w:tcBorders>
            <w:shd w:val="clear" w:color="auto" w:fill="auto"/>
            <w:vAlign w:val="center"/>
          </w:tcPr>
          <w:p w14:paraId="7E8551C8" w14:textId="77777777" w:rsidR="00F17045" w:rsidRPr="00526D93" w:rsidRDefault="00F17045" w:rsidP="00C11675">
            <w:pPr>
              <w:jc w:val="center"/>
              <w:rPr>
                <w:color w:val="000000"/>
                <w:sz w:val="16"/>
                <w:szCs w:val="16"/>
              </w:rPr>
            </w:pPr>
            <w:r w:rsidRPr="00526D93">
              <w:rPr>
                <w:color w:val="000000"/>
                <w:sz w:val="16"/>
                <w:szCs w:val="16"/>
              </w:rPr>
              <w:t>094</w:t>
            </w:r>
          </w:p>
        </w:tc>
        <w:tc>
          <w:tcPr>
            <w:tcW w:w="1124" w:type="dxa"/>
            <w:tcBorders>
              <w:left w:val="single" w:sz="8" w:space="0" w:color="4E67C8"/>
              <w:right w:val="single" w:sz="8" w:space="0" w:color="4E67C8"/>
            </w:tcBorders>
            <w:shd w:val="clear" w:color="auto" w:fill="auto"/>
            <w:vAlign w:val="center"/>
          </w:tcPr>
          <w:p w14:paraId="5B9F4FFA"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09CC206F"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31545" w14:paraId="1C376570"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76D0795" w14:textId="77777777" w:rsidR="00F17045" w:rsidRPr="00526D93" w:rsidRDefault="00F17045" w:rsidP="00C11675">
            <w:pPr>
              <w:jc w:val="center"/>
              <w:rPr>
                <w:color w:val="000000"/>
                <w:sz w:val="16"/>
                <w:szCs w:val="16"/>
              </w:rPr>
            </w:pPr>
            <w:r>
              <w:rPr>
                <w:color w:val="000000"/>
                <w:sz w:val="16"/>
                <w:szCs w:val="16"/>
              </w:rPr>
              <w:t>8</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CC8A3D6" w14:textId="77777777" w:rsidR="00F17045" w:rsidRPr="00AF1D88" w:rsidRDefault="00F17045" w:rsidP="00C11675">
            <w:pPr>
              <w:rPr>
                <w:color w:val="000000"/>
                <w:sz w:val="16"/>
                <w:szCs w:val="16"/>
                <w:lang w:val="en-GB"/>
              </w:rPr>
            </w:pPr>
            <w:r w:rsidRPr="00A15F64">
              <w:rPr>
                <w:sz w:val="16"/>
                <w:szCs w:val="16"/>
              </w:rPr>
              <w:t xml:space="preserve">7.8. </w:t>
            </w:r>
            <w:r w:rsidRPr="00A15F64">
              <w:rPr>
                <w:iCs/>
                <w:sz w:val="16"/>
                <w:szCs w:val="16"/>
              </w:rPr>
              <w:t>Zvýšenie energetickej efektívnosti bytových domov</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842383C" w14:textId="77777777" w:rsidR="00F17045" w:rsidRPr="00526D93" w:rsidRDefault="00F17045" w:rsidP="00C11675">
            <w:pPr>
              <w:jc w:val="right"/>
              <w:rPr>
                <w:color w:val="000000"/>
                <w:sz w:val="16"/>
                <w:szCs w:val="16"/>
              </w:rPr>
            </w:pPr>
            <w:r w:rsidRPr="00526D93">
              <w:rPr>
                <w:color w:val="000000"/>
                <w:sz w:val="16"/>
                <w:szCs w:val="16"/>
              </w:rPr>
              <w:t>47 800 000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F743A6D" w14:textId="77777777" w:rsidR="00F17045" w:rsidRPr="00526D93" w:rsidRDefault="00F17045" w:rsidP="00C11675">
            <w:pPr>
              <w:jc w:val="right"/>
              <w:rPr>
                <w:color w:val="000000"/>
                <w:sz w:val="16"/>
                <w:szCs w:val="16"/>
              </w:rPr>
            </w:pPr>
            <w:r w:rsidRPr="00636DF4">
              <w:rPr>
                <w:color w:val="000000"/>
                <w:sz w:val="16"/>
                <w:szCs w:val="16"/>
              </w:rPr>
              <w:t>44 222 499</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F23F44" w14:textId="77777777" w:rsidR="00F17045" w:rsidRPr="00526D93" w:rsidRDefault="00F17045" w:rsidP="00C11675">
            <w:pPr>
              <w:jc w:val="right"/>
              <w:rPr>
                <w:color w:val="000000"/>
                <w:sz w:val="16"/>
                <w:szCs w:val="16"/>
              </w:rPr>
            </w:pPr>
            <w:r w:rsidRPr="00636DF4">
              <w:rPr>
                <w:color w:val="000000"/>
                <w:sz w:val="16"/>
                <w:szCs w:val="16"/>
              </w:rPr>
              <w:t>3 577 501</w:t>
            </w:r>
          </w:p>
        </w:tc>
        <w:tc>
          <w:tcPr>
            <w:tcW w:w="1144" w:type="dxa"/>
            <w:tcBorders>
              <w:left w:val="single" w:sz="8" w:space="0" w:color="4E67C8"/>
              <w:right w:val="single" w:sz="8" w:space="0" w:color="4E67C8"/>
            </w:tcBorders>
            <w:shd w:val="clear" w:color="auto" w:fill="auto"/>
            <w:vAlign w:val="center"/>
          </w:tcPr>
          <w:p w14:paraId="2071DB1D" w14:textId="77777777" w:rsidR="00F17045" w:rsidRPr="00526D93" w:rsidRDefault="00F17045" w:rsidP="00C11675">
            <w:pPr>
              <w:jc w:val="center"/>
              <w:rPr>
                <w:color w:val="000000"/>
                <w:sz w:val="16"/>
                <w:szCs w:val="16"/>
              </w:rPr>
            </w:pPr>
            <w:r w:rsidRPr="00526D93">
              <w:rPr>
                <w:color w:val="000000"/>
                <w:sz w:val="16"/>
                <w:szCs w:val="16"/>
              </w:rPr>
              <w:t>014</w:t>
            </w:r>
          </w:p>
        </w:tc>
        <w:tc>
          <w:tcPr>
            <w:tcW w:w="1124" w:type="dxa"/>
            <w:tcBorders>
              <w:left w:val="single" w:sz="8" w:space="0" w:color="4E67C8"/>
              <w:right w:val="single" w:sz="8" w:space="0" w:color="4E67C8"/>
            </w:tcBorders>
            <w:shd w:val="clear" w:color="auto" w:fill="auto"/>
            <w:vAlign w:val="center"/>
          </w:tcPr>
          <w:p w14:paraId="4AEF9EFB" w14:textId="77777777" w:rsidR="00F17045" w:rsidRPr="00526D93" w:rsidRDefault="00F17045" w:rsidP="00C11675">
            <w:pPr>
              <w:jc w:val="center"/>
              <w:rPr>
                <w:color w:val="000000"/>
                <w:sz w:val="16"/>
                <w:szCs w:val="16"/>
              </w:rPr>
            </w:pPr>
            <w:r w:rsidRPr="00526D93">
              <w:rPr>
                <w:color w:val="000000"/>
                <w:sz w:val="16"/>
                <w:szCs w:val="16"/>
              </w:rPr>
              <w:t>100%</w:t>
            </w:r>
          </w:p>
        </w:tc>
        <w:tc>
          <w:tcPr>
            <w:tcW w:w="1275" w:type="dxa"/>
            <w:vAlign w:val="center"/>
          </w:tcPr>
          <w:p w14:paraId="65B2ECE8" w14:textId="77777777" w:rsidR="00F17045" w:rsidRPr="00526D93" w:rsidRDefault="00F17045" w:rsidP="00C11675">
            <w:pPr>
              <w:jc w:val="right"/>
              <w:rPr>
                <w:color w:val="000000"/>
                <w:sz w:val="16"/>
                <w:szCs w:val="16"/>
              </w:rPr>
            </w:pPr>
            <w:r w:rsidRPr="00526D93">
              <w:rPr>
                <w:color w:val="000000"/>
                <w:sz w:val="16"/>
                <w:szCs w:val="16"/>
              </w:rPr>
              <w:t>47 800 000</w:t>
            </w:r>
          </w:p>
        </w:tc>
      </w:tr>
      <w:tr w:rsidR="00F17045" w:rsidRPr="00531545" w14:paraId="44942E7B"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43B3569" w14:textId="77777777" w:rsidR="00F17045" w:rsidRPr="00526D93" w:rsidRDefault="00F17045" w:rsidP="00C11675">
            <w:pPr>
              <w:jc w:val="center"/>
              <w:rPr>
                <w:color w:val="000000"/>
                <w:sz w:val="16"/>
                <w:szCs w:val="16"/>
              </w:rPr>
            </w:pPr>
            <w:r>
              <w:rPr>
                <w:color w:val="000000"/>
                <w:sz w:val="16"/>
                <w:szCs w:val="16"/>
              </w:rPr>
              <w:t>9</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7CA7B4" w14:textId="77777777" w:rsidR="00F17045" w:rsidRPr="00AF1D88" w:rsidRDefault="00F17045" w:rsidP="00C11675">
            <w:pPr>
              <w:rPr>
                <w:color w:val="000000"/>
                <w:sz w:val="16"/>
                <w:szCs w:val="16"/>
                <w:lang w:val="en-GB"/>
              </w:rPr>
            </w:pPr>
            <w:r w:rsidRPr="00A15F64">
              <w:rPr>
                <w:sz w:val="16"/>
                <w:szCs w:val="16"/>
              </w:rPr>
              <w:t xml:space="preserve">8.1. </w:t>
            </w:r>
            <w:r w:rsidRPr="00A15F64">
              <w:rPr>
                <w:iCs/>
                <w:sz w:val="16"/>
                <w:szCs w:val="16"/>
              </w:rPr>
              <w:t xml:space="preserve">Podpora vytvorenia regionálnych </w:t>
            </w:r>
            <w:r w:rsidRPr="008A6386">
              <w:rPr>
                <w:iCs/>
                <w:sz w:val="16"/>
                <w:szCs w:val="16"/>
              </w:rPr>
              <w:t>štruktúr na programové obdobie 2021 - 2027</w:t>
            </w:r>
            <w:r>
              <w:rPr>
                <w:color w:val="000000"/>
                <w:sz w:val="16"/>
                <w:szCs w:val="16"/>
                <w:lang w:val="en-GB"/>
              </w:rPr>
              <w:t>;</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F3A84D3" w14:textId="77777777" w:rsidR="00F17045" w:rsidRDefault="00F17045" w:rsidP="00C11675">
            <w:pPr>
              <w:jc w:val="right"/>
              <w:rPr>
                <w:color w:val="000000"/>
                <w:sz w:val="16"/>
                <w:szCs w:val="16"/>
              </w:rPr>
            </w:pPr>
            <w:r>
              <w:rPr>
                <w:color w:val="000000"/>
                <w:sz w:val="16"/>
                <w:szCs w:val="16"/>
              </w:rPr>
              <w:t> </w:t>
            </w:r>
          </w:p>
          <w:p w14:paraId="130663BA" w14:textId="77777777" w:rsidR="00F17045" w:rsidRPr="005633F9" w:rsidRDefault="00F17045" w:rsidP="00C11675">
            <w:pPr>
              <w:jc w:val="right"/>
              <w:rPr>
                <w:color w:val="000000"/>
                <w:sz w:val="16"/>
                <w:szCs w:val="16"/>
              </w:rPr>
            </w:pPr>
            <w:r>
              <w:rPr>
                <w:color w:val="000000"/>
                <w:sz w:val="16"/>
                <w:szCs w:val="16"/>
              </w:rPr>
              <w:t>5 000 000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72C9E93" w14:textId="77777777" w:rsidR="00F17045" w:rsidRPr="005633F9" w:rsidRDefault="00F17045" w:rsidP="00C11675">
            <w:pPr>
              <w:jc w:val="right"/>
              <w:rPr>
                <w:color w:val="000000"/>
                <w:sz w:val="16"/>
                <w:szCs w:val="16"/>
              </w:rPr>
            </w:pPr>
            <w:r w:rsidRPr="005633F9">
              <w:rPr>
                <w:color w:val="000000"/>
                <w:sz w:val="16"/>
                <w:szCs w:val="16"/>
              </w:rPr>
              <w:t>5 000 000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5CC5C9A" w14:textId="77777777" w:rsidR="00F17045" w:rsidRPr="005633F9" w:rsidRDefault="00F17045" w:rsidP="00C11675">
            <w:pPr>
              <w:jc w:val="right"/>
              <w:rPr>
                <w:color w:val="000000"/>
                <w:sz w:val="16"/>
                <w:szCs w:val="16"/>
              </w:rPr>
            </w:pPr>
            <w:r>
              <w:rPr>
                <w:color w:val="000000"/>
                <w:sz w:val="16"/>
                <w:szCs w:val="16"/>
              </w:rPr>
              <w:t>0</w:t>
            </w:r>
          </w:p>
        </w:tc>
        <w:tc>
          <w:tcPr>
            <w:tcW w:w="1144" w:type="dxa"/>
            <w:tcBorders>
              <w:left w:val="single" w:sz="8" w:space="0" w:color="4E67C8"/>
              <w:right w:val="single" w:sz="8" w:space="0" w:color="4E67C8"/>
            </w:tcBorders>
            <w:shd w:val="clear" w:color="auto" w:fill="auto"/>
            <w:vAlign w:val="center"/>
          </w:tcPr>
          <w:p w14:paraId="0C092257" w14:textId="77777777" w:rsidR="00F17045" w:rsidRPr="00526D93" w:rsidRDefault="00F17045" w:rsidP="00C11675">
            <w:pPr>
              <w:jc w:val="center"/>
              <w:rPr>
                <w:color w:val="000000"/>
                <w:sz w:val="16"/>
                <w:szCs w:val="16"/>
              </w:rPr>
            </w:pPr>
            <w:r w:rsidRPr="00526D93">
              <w:rPr>
                <w:color w:val="000000"/>
                <w:sz w:val="16"/>
                <w:szCs w:val="16"/>
              </w:rPr>
              <w:t>121</w:t>
            </w:r>
          </w:p>
        </w:tc>
        <w:tc>
          <w:tcPr>
            <w:tcW w:w="1124" w:type="dxa"/>
            <w:tcBorders>
              <w:left w:val="single" w:sz="8" w:space="0" w:color="4E67C8"/>
              <w:right w:val="single" w:sz="8" w:space="0" w:color="4E67C8"/>
            </w:tcBorders>
            <w:shd w:val="clear" w:color="auto" w:fill="auto"/>
            <w:vAlign w:val="center"/>
          </w:tcPr>
          <w:p w14:paraId="55772564"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56E25999"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31545" w14:paraId="0FD441B1" w14:textId="77777777" w:rsidTr="00C11675">
        <w:tc>
          <w:tcPr>
            <w:tcW w:w="28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3C7EDBE" w14:textId="77777777" w:rsidR="00F17045" w:rsidRPr="00526D93" w:rsidRDefault="00F17045" w:rsidP="00C11675">
            <w:pPr>
              <w:jc w:val="center"/>
              <w:rPr>
                <w:color w:val="000000"/>
                <w:sz w:val="16"/>
                <w:szCs w:val="16"/>
              </w:rPr>
            </w:pPr>
            <w:r>
              <w:rPr>
                <w:color w:val="000000"/>
                <w:sz w:val="16"/>
                <w:szCs w:val="16"/>
              </w:rPr>
              <w:t>10</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F84953" w14:textId="77777777" w:rsidR="00F17045" w:rsidRPr="00A15F64" w:rsidRDefault="00F17045" w:rsidP="00C11675">
            <w:pPr>
              <w:rPr>
                <w:color w:val="000000"/>
                <w:sz w:val="16"/>
                <w:szCs w:val="16"/>
                <w:lang w:val="en-GB"/>
              </w:rPr>
            </w:pPr>
            <w:r w:rsidRPr="00A15F64">
              <w:rPr>
                <w:sz w:val="16"/>
                <w:szCs w:val="16"/>
              </w:rPr>
              <w:t xml:space="preserve">8.2. </w:t>
            </w:r>
            <w:r w:rsidRPr="00A15F64">
              <w:rPr>
                <w:iCs/>
                <w:sz w:val="16"/>
                <w:szCs w:val="16"/>
              </w:rPr>
              <w:t>Podpora existujúcich RO/SO pre IROP pri implementácii REACT-EÚ</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B21AA93" w14:textId="77777777" w:rsidR="00F17045" w:rsidRDefault="00F17045" w:rsidP="00C11675">
            <w:pPr>
              <w:jc w:val="right"/>
              <w:rPr>
                <w:color w:val="000000"/>
                <w:sz w:val="16"/>
                <w:szCs w:val="16"/>
              </w:rPr>
            </w:pPr>
            <w:r>
              <w:rPr>
                <w:color w:val="000000"/>
                <w:sz w:val="16"/>
                <w:szCs w:val="16"/>
              </w:rPr>
              <w:t> </w:t>
            </w:r>
          </w:p>
          <w:p w14:paraId="5599B6CC" w14:textId="77777777" w:rsidR="00F17045" w:rsidRPr="00C86891" w:rsidRDefault="00F17045" w:rsidP="00C11675">
            <w:pPr>
              <w:jc w:val="right"/>
              <w:rPr>
                <w:color w:val="000000"/>
                <w:sz w:val="16"/>
                <w:szCs w:val="16"/>
              </w:rPr>
            </w:pPr>
            <w:r>
              <w:rPr>
                <w:color w:val="000000"/>
                <w:sz w:val="16"/>
                <w:szCs w:val="16"/>
              </w:rPr>
              <w:t>2 300 000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5069172" w14:textId="77777777" w:rsidR="00F17045" w:rsidRPr="00C86891" w:rsidRDefault="00F17045" w:rsidP="00C11675">
            <w:pPr>
              <w:jc w:val="right"/>
              <w:rPr>
                <w:color w:val="000000"/>
                <w:sz w:val="16"/>
                <w:szCs w:val="16"/>
              </w:rPr>
            </w:pPr>
            <w:r w:rsidRPr="00C86891">
              <w:rPr>
                <w:color w:val="000000"/>
                <w:sz w:val="16"/>
                <w:szCs w:val="16"/>
              </w:rPr>
              <w:t>1 000 000</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8067404" w14:textId="77777777" w:rsidR="00F17045" w:rsidRPr="00C86891" w:rsidRDefault="00F17045" w:rsidP="00C11675">
            <w:pPr>
              <w:jc w:val="right"/>
              <w:rPr>
                <w:color w:val="000000"/>
                <w:sz w:val="16"/>
                <w:szCs w:val="16"/>
              </w:rPr>
            </w:pPr>
            <w:r>
              <w:rPr>
                <w:color w:val="000000"/>
                <w:sz w:val="16"/>
                <w:szCs w:val="16"/>
              </w:rPr>
              <w:t>1 300 000</w:t>
            </w:r>
          </w:p>
        </w:tc>
        <w:tc>
          <w:tcPr>
            <w:tcW w:w="1144" w:type="dxa"/>
            <w:tcBorders>
              <w:left w:val="single" w:sz="8" w:space="0" w:color="4E67C8"/>
              <w:right w:val="single" w:sz="8" w:space="0" w:color="4E67C8"/>
            </w:tcBorders>
            <w:shd w:val="clear" w:color="auto" w:fill="auto"/>
            <w:vAlign w:val="center"/>
          </w:tcPr>
          <w:p w14:paraId="5A9DA0BB" w14:textId="77777777" w:rsidR="00F17045" w:rsidRPr="00526D93" w:rsidRDefault="00F17045" w:rsidP="00C11675">
            <w:pPr>
              <w:jc w:val="center"/>
              <w:rPr>
                <w:color w:val="000000"/>
                <w:sz w:val="16"/>
                <w:szCs w:val="16"/>
              </w:rPr>
            </w:pPr>
            <w:r w:rsidRPr="00526D93">
              <w:rPr>
                <w:color w:val="000000"/>
                <w:sz w:val="16"/>
                <w:szCs w:val="16"/>
              </w:rPr>
              <w:t>121</w:t>
            </w:r>
          </w:p>
        </w:tc>
        <w:tc>
          <w:tcPr>
            <w:tcW w:w="1124" w:type="dxa"/>
            <w:tcBorders>
              <w:left w:val="single" w:sz="8" w:space="0" w:color="4E67C8"/>
              <w:right w:val="single" w:sz="8" w:space="0" w:color="4E67C8"/>
            </w:tcBorders>
            <w:shd w:val="clear" w:color="auto" w:fill="auto"/>
            <w:vAlign w:val="center"/>
          </w:tcPr>
          <w:p w14:paraId="6C2C199F" w14:textId="77777777" w:rsidR="00F17045" w:rsidRPr="00526D93" w:rsidRDefault="00F17045" w:rsidP="00C11675">
            <w:pPr>
              <w:jc w:val="center"/>
              <w:rPr>
                <w:color w:val="000000"/>
                <w:sz w:val="16"/>
                <w:szCs w:val="16"/>
              </w:rPr>
            </w:pPr>
            <w:r w:rsidRPr="00526D93">
              <w:rPr>
                <w:color w:val="000000"/>
                <w:sz w:val="16"/>
                <w:szCs w:val="16"/>
              </w:rPr>
              <w:t>0%</w:t>
            </w:r>
          </w:p>
        </w:tc>
        <w:tc>
          <w:tcPr>
            <w:tcW w:w="1275" w:type="dxa"/>
            <w:vAlign w:val="center"/>
          </w:tcPr>
          <w:p w14:paraId="72DFD3FB" w14:textId="77777777" w:rsidR="00F17045" w:rsidRPr="00526D93" w:rsidRDefault="00F17045" w:rsidP="00C11675">
            <w:pPr>
              <w:jc w:val="right"/>
              <w:rPr>
                <w:color w:val="000000"/>
                <w:sz w:val="16"/>
                <w:szCs w:val="16"/>
              </w:rPr>
            </w:pPr>
            <w:r w:rsidRPr="00526D93">
              <w:rPr>
                <w:color w:val="000000"/>
                <w:sz w:val="16"/>
                <w:szCs w:val="16"/>
              </w:rPr>
              <w:t>0,00</w:t>
            </w:r>
          </w:p>
        </w:tc>
      </w:tr>
      <w:tr w:rsidR="00F17045" w:rsidRPr="00531545" w14:paraId="2794D277" w14:textId="77777777" w:rsidTr="00C11675">
        <w:tc>
          <w:tcPr>
            <w:tcW w:w="2410"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5CE8E05E" w14:textId="77777777" w:rsidR="00F17045" w:rsidRPr="00526D93" w:rsidRDefault="00F17045" w:rsidP="00C11675">
            <w:pPr>
              <w:jc w:val="center"/>
              <w:rPr>
                <w:b/>
                <w:bCs/>
                <w:color w:val="000000"/>
                <w:sz w:val="16"/>
                <w:szCs w:val="16"/>
              </w:rPr>
            </w:pPr>
            <w:r w:rsidRPr="00526D93">
              <w:rPr>
                <w:b/>
                <w:bCs/>
                <w:color w:val="000000"/>
                <w:sz w:val="16"/>
                <w:szCs w:val="16"/>
              </w:rPr>
              <w:t xml:space="preserve">IROP </w:t>
            </w:r>
            <w:r>
              <w:rPr>
                <w:b/>
                <w:bCs/>
                <w:color w:val="000000"/>
                <w:sz w:val="16"/>
                <w:szCs w:val="16"/>
              </w:rPr>
              <w:t>spolu – REACT-EU</w:t>
            </w:r>
          </w:p>
        </w:tc>
        <w:tc>
          <w:tcPr>
            <w:tcW w:w="1145"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CF45169" w14:textId="77777777" w:rsidR="00F17045" w:rsidRPr="00526D93" w:rsidRDefault="00F17045" w:rsidP="00C11675">
            <w:pPr>
              <w:jc w:val="right"/>
              <w:rPr>
                <w:b/>
                <w:bCs/>
                <w:color w:val="000000"/>
                <w:sz w:val="16"/>
                <w:szCs w:val="16"/>
              </w:rPr>
            </w:pPr>
            <w:r w:rsidRPr="00526D93">
              <w:rPr>
                <w:b/>
                <w:bCs/>
                <w:color w:val="000000"/>
                <w:sz w:val="16"/>
                <w:szCs w:val="16"/>
              </w:rPr>
              <w:t>235 782 984</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3E40C1F" w14:textId="77777777" w:rsidR="00F17045" w:rsidRPr="00526D93" w:rsidRDefault="00F17045" w:rsidP="00C11675">
            <w:pPr>
              <w:jc w:val="right"/>
              <w:rPr>
                <w:b/>
                <w:bCs/>
                <w:color w:val="000000"/>
                <w:sz w:val="16"/>
                <w:szCs w:val="16"/>
              </w:rPr>
            </w:pPr>
            <w:r w:rsidRPr="00526D93">
              <w:rPr>
                <w:b/>
                <w:bCs/>
                <w:color w:val="000000"/>
                <w:sz w:val="16"/>
                <w:szCs w:val="16"/>
              </w:rPr>
              <w:t>194 900 994</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B1FF85" w14:textId="77777777" w:rsidR="00F17045" w:rsidRPr="00526D93" w:rsidRDefault="00F17045" w:rsidP="00C11675">
            <w:pPr>
              <w:jc w:val="right"/>
              <w:rPr>
                <w:b/>
                <w:bCs/>
                <w:color w:val="000000"/>
                <w:sz w:val="16"/>
                <w:szCs w:val="16"/>
              </w:rPr>
            </w:pPr>
            <w:r w:rsidRPr="00526D93">
              <w:rPr>
                <w:b/>
                <w:bCs/>
                <w:color w:val="000000"/>
                <w:sz w:val="16"/>
                <w:szCs w:val="16"/>
              </w:rPr>
              <w:t>40 881 990</w:t>
            </w:r>
          </w:p>
        </w:tc>
        <w:tc>
          <w:tcPr>
            <w:tcW w:w="1144" w:type="dxa"/>
            <w:tcBorders>
              <w:left w:val="single" w:sz="8" w:space="0" w:color="4E67C8"/>
              <w:bottom w:val="single" w:sz="8" w:space="0" w:color="4E67C8"/>
              <w:right w:val="single" w:sz="8" w:space="0" w:color="4E67C8"/>
            </w:tcBorders>
            <w:shd w:val="clear" w:color="auto" w:fill="auto"/>
            <w:vAlign w:val="center"/>
          </w:tcPr>
          <w:p w14:paraId="5DA44757" w14:textId="77777777" w:rsidR="00F17045" w:rsidRPr="00526D93" w:rsidRDefault="00F17045" w:rsidP="00C11675">
            <w:pPr>
              <w:jc w:val="center"/>
              <w:rPr>
                <w:color w:val="000000"/>
                <w:sz w:val="16"/>
                <w:szCs w:val="16"/>
              </w:rPr>
            </w:pPr>
          </w:p>
        </w:tc>
        <w:tc>
          <w:tcPr>
            <w:tcW w:w="1124" w:type="dxa"/>
            <w:tcBorders>
              <w:left w:val="single" w:sz="8" w:space="0" w:color="4E67C8"/>
              <w:bottom w:val="single" w:sz="8" w:space="0" w:color="4E67C8"/>
              <w:right w:val="single" w:sz="8" w:space="0" w:color="4E67C8"/>
            </w:tcBorders>
            <w:shd w:val="clear" w:color="auto" w:fill="auto"/>
            <w:vAlign w:val="center"/>
          </w:tcPr>
          <w:p w14:paraId="0251AD06" w14:textId="77777777" w:rsidR="00F17045" w:rsidRPr="007D09F4" w:rsidRDefault="00F17045" w:rsidP="00C11675">
            <w:pPr>
              <w:jc w:val="center"/>
              <w:rPr>
                <w:b/>
                <w:color w:val="000000"/>
                <w:sz w:val="16"/>
                <w:szCs w:val="16"/>
              </w:rPr>
            </w:pPr>
            <w:r w:rsidRPr="007D09F4">
              <w:rPr>
                <w:b/>
                <w:color w:val="000000"/>
                <w:sz w:val="16"/>
                <w:szCs w:val="16"/>
              </w:rPr>
              <w:t>38,17%</w:t>
            </w:r>
          </w:p>
        </w:tc>
        <w:tc>
          <w:tcPr>
            <w:tcW w:w="1275" w:type="dxa"/>
            <w:vAlign w:val="center"/>
          </w:tcPr>
          <w:p w14:paraId="12677F8C" w14:textId="77777777" w:rsidR="00F17045" w:rsidRPr="007D09F4" w:rsidRDefault="00F17045" w:rsidP="00C11675">
            <w:pPr>
              <w:jc w:val="right"/>
              <w:rPr>
                <w:b/>
                <w:color w:val="000000"/>
                <w:sz w:val="16"/>
                <w:szCs w:val="16"/>
              </w:rPr>
            </w:pPr>
            <w:r w:rsidRPr="007D09F4">
              <w:rPr>
                <w:b/>
                <w:color w:val="000000"/>
                <w:sz w:val="16"/>
                <w:szCs w:val="16"/>
              </w:rPr>
              <w:t>86 748 567</w:t>
            </w:r>
          </w:p>
        </w:tc>
      </w:tr>
    </w:tbl>
    <w:p w14:paraId="16C5208F" w14:textId="77777777" w:rsidR="00F17045" w:rsidRDefault="00F17045" w:rsidP="00377D51"/>
    <w:p w14:paraId="5CB69B25" w14:textId="77777777" w:rsidR="00377D51" w:rsidRPr="00D073D5" w:rsidRDefault="00377D51" w:rsidP="00377D51">
      <w:pPr>
        <w:pStyle w:val="Odsekzoznamu"/>
        <w:numPr>
          <w:ilvl w:val="0"/>
          <w:numId w:val="28"/>
        </w:numPr>
        <w:spacing w:before="240" w:after="120" w:line="240" w:lineRule="auto"/>
        <w:ind w:left="284" w:hanging="284"/>
        <w:contextualSpacing w:val="0"/>
        <w:jc w:val="both"/>
        <w:rPr>
          <w:rFonts w:ascii="Arial" w:hAnsi="Arial" w:cs="Arial"/>
          <w:b/>
        </w:rPr>
      </w:pPr>
      <w:r w:rsidRPr="00D073D5">
        <w:rPr>
          <w:rFonts w:ascii="Arial" w:hAnsi="Arial" w:cs="Arial"/>
          <w:b/>
        </w:rPr>
        <w:t>Úprava znenia špecifického cieľa 7.7:  Podpora udržateľnosti a odolnosti kultúrnych inštitúcii</w:t>
      </w:r>
    </w:p>
    <w:p w14:paraId="646ACEA7" w14:textId="77777777" w:rsidR="00377D51" w:rsidRPr="00D073D5" w:rsidRDefault="00377D51" w:rsidP="0087675E">
      <w:pPr>
        <w:spacing w:before="120" w:line="276" w:lineRule="auto"/>
        <w:jc w:val="both"/>
        <w:rPr>
          <w:color w:val="000000"/>
          <w:sz w:val="22"/>
          <w:szCs w:val="22"/>
        </w:rPr>
      </w:pPr>
      <w:r w:rsidRPr="00D073D5">
        <w:rPr>
          <w:color w:val="000000"/>
          <w:sz w:val="22"/>
          <w:szCs w:val="22"/>
        </w:rPr>
        <w:t xml:space="preserve">V kapitole 2.7.1.1 IROP bol pre špecifický cieľ 7.7 odstránený typ aktivity „B. Stavebné úpravy a rekonštrukcia priestorov súvisiace s modernizáciou, obstaraním materiálno-technického a technologického vybavenia kultúrnych inštitúcií“ z dôvodu lepšieho logického previazania oprávnených výdavkov s programovou štruktúrou PO7, ŠC 7.7. V rámci výzvy č. IROP-PO7-SC-77-2021-75, ktorá bola vyhlásená 10. augusta 2021, sú v podmienke poskytnutia príspevku č. 9 „Podmienka oprávnenosti aktivít projektu“ uvedené dve povinné hlavné aktivity, a to 1. Zvýšenie kvality poskytovaných služieb v kultúrnej inštitúcii a 2. Zlepšenie úrovne hygienických štandardov kultúrnej inštitúcie, ktoré v sebe zahŕňajú aj oprávnené výdavky na stavebné úpravy a rekonštrukcie. Rozdelením oprávnených výdavkov z týchto dvoch povinných hlavných aktivít medzi typy aktivít A. a B. by dochádzalo k zbytočnému a umelému deleniu medzi dva typy aktivít, čím by mohlo dochádzať k vzniku nelogických výdavkov z pohľadu ich delenia v rozpočte projektu. Vzhľadom na to, že typ aktivity „A. Investície do obstarania a modernizácie materiálno-technického a technologického vybavenia kultúrnych inštitúcií“ je dostatočne otvorený a pokrýva aj oblasť stavebných úprav a rekonštrukcie priestorov,  SO pre IROP PO7 ŠC7.7 sa rozhodol neuvádzať vo </w:t>
      </w:r>
      <w:r w:rsidRPr="00D073D5">
        <w:rPr>
          <w:color w:val="000000"/>
          <w:sz w:val="22"/>
          <w:szCs w:val="22"/>
        </w:rPr>
        <w:lastRenderedPageBreak/>
        <w:t>výzve typ aktivity B. a všetky oprávnené výdavky priraďovať len k typu aktivity A.</w:t>
      </w:r>
    </w:p>
    <w:p w14:paraId="7086D24E" w14:textId="77777777" w:rsidR="00377D51" w:rsidRPr="00D073D5" w:rsidRDefault="00377D51" w:rsidP="0087675E">
      <w:pPr>
        <w:spacing w:before="120" w:line="276" w:lineRule="auto"/>
        <w:jc w:val="both"/>
        <w:rPr>
          <w:color w:val="000000"/>
          <w:sz w:val="22"/>
          <w:szCs w:val="22"/>
        </w:rPr>
      </w:pPr>
      <w:r w:rsidRPr="00D073D5">
        <w:rPr>
          <w:color w:val="000000"/>
          <w:sz w:val="22"/>
          <w:szCs w:val="22"/>
        </w:rPr>
        <w:t>V kapitole 2.7.1.2 IROP boli pre špecifický cieľ 7.7 upravená hlavná zásada výberu operácií č. 2, a to tak, že boli vypustené slová „kultúrnej inštitúcie“, čím sa upravilo znenie hlavnej zásady výberu operácií na: „projekt sa realizuje v existujúcom objekte“. Touto úpravou bolo žiadateľom umožnené realizovať aj premiestnenie kultúrnej inštitúcie do iného objektu, ak to súčasný stav existujúceho objektu nedovoľuje vzhľadom na rozsah poškodenia budovy, resp. premiestnenie do inej budovy je hospodárnejšie a smeruje k vyššiemu štandardu poskytovaných služieb.</w:t>
      </w:r>
    </w:p>
    <w:p w14:paraId="0E87F198" w14:textId="77777777" w:rsidR="00F17045" w:rsidRPr="00F17045" w:rsidRDefault="00F17045" w:rsidP="00F17045">
      <w:pPr>
        <w:pStyle w:val="Odsekzoznamu"/>
        <w:numPr>
          <w:ilvl w:val="0"/>
          <w:numId w:val="28"/>
        </w:numPr>
        <w:spacing w:before="240" w:after="120" w:line="240" w:lineRule="auto"/>
        <w:ind w:left="284" w:hanging="284"/>
        <w:contextualSpacing w:val="0"/>
        <w:jc w:val="both"/>
        <w:rPr>
          <w:rFonts w:ascii="Arial" w:hAnsi="Arial" w:cs="Arial"/>
          <w:b/>
        </w:rPr>
      </w:pPr>
      <w:r w:rsidRPr="00F17045">
        <w:rPr>
          <w:rFonts w:ascii="Arial" w:hAnsi="Arial" w:cs="Arial"/>
          <w:b/>
        </w:rPr>
        <w:t>Úprava hodnôt merateľných ukazovateľov v rámci prioritnej osi 7 REACT-EÚ</w:t>
      </w:r>
    </w:p>
    <w:p w14:paraId="104C0A52" w14:textId="77777777" w:rsidR="00F17045" w:rsidRPr="00F17045" w:rsidRDefault="00F17045" w:rsidP="0087675E">
      <w:pPr>
        <w:spacing w:before="240" w:after="120" w:line="276" w:lineRule="auto"/>
        <w:jc w:val="both"/>
        <w:rPr>
          <w:sz w:val="22"/>
          <w:szCs w:val="22"/>
        </w:rPr>
      </w:pPr>
      <w:r w:rsidRPr="00F17045">
        <w:rPr>
          <w:rFonts w:eastAsia="Arial Narrow"/>
          <w:sz w:val="22"/>
          <w:szCs w:val="22"/>
        </w:rPr>
        <w:t xml:space="preserve">Úprava hodnôt merateľných ukazovateľov v rámci prioritnej osi 7 REACT-EÚ vyplynula z potreby prerozdelenia 2. </w:t>
      </w:r>
      <w:proofErr w:type="spellStart"/>
      <w:r w:rsidRPr="00F17045">
        <w:rPr>
          <w:rFonts w:eastAsia="Arial Narrow"/>
          <w:sz w:val="22"/>
          <w:szCs w:val="22"/>
        </w:rPr>
        <w:t>tranže</w:t>
      </w:r>
      <w:proofErr w:type="spellEnd"/>
      <w:r w:rsidRPr="00F17045">
        <w:rPr>
          <w:rFonts w:eastAsia="Arial Narrow"/>
          <w:sz w:val="22"/>
          <w:szCs w:val="22"/>
        </w:rPr>
        <w:t xml:space="preserve"> na jednotlivé špecifické ciele určené </w:t>
      </w:r>
      <w:r w:rsidRPr="00F17045">
        <w:rPr>
          <w:sz w:val="22"/>
          <w:szCs w:val="22"/>
        </w:rPr>
        <w:t>na poskytovanie pomoci na podporu obnovy po kríze spojenej s pandémiou COVID-19 vrátane jej sociálnych dôsledkov a na prípravu zeleného, digitálneho a odolného oživenia hospodárstva (Nariadenie Európskeho Parlamentu a Rady (EÚ) 2020/2221 z 23. decembra 2020, ktorým sa mení nariadenie (EÚ) č. 1303/2013).</w:t>
      </w:r>
    </w:p>
    <w:p w14:paraId="5034A4CF" w14:textId="77777777" w:rsidR="00F17045" w:rsidRPr="00F17045" w:rsidRDefault="00F17045" w:rsidP="0087675E">
      <w:pPr>
        <w:spacing w:before="240" w:after="120" w:line="276" w:lineRule="auto"/>
        <w:jc w:val="both"/>
        <w:rPr>
          <w:color w:val="000000"/>
          <w:sz w:val="22"/>
          <w:szCs w:val="22"/>
        </w:rPr>
      </w:pPr>
      <w:r w:rsidRPr="00F17045">
        <w:rPr>
          <w:color w:val="000000"/>
          <w:sz w:val="22"/>
          <w:szCs w:val="22"/>
        </w:rPr>
        <w:t>Zdôvodnenie úpravy hodnôt doplnených ukazovateľov k jednotlivým špecifickým cieľom prioritnej osi 7 – REACT-EU je uvedený v </w:t>
      </w:r>
      <w:r w:rsidRPr="00F17045">
        <w:rPr>
          <w:color w:val="000000"/>
          <w:sz w:val="22"/>
          <w:szCs w:val="22"/>
          <w:u w:val="single"/>
        </w:rPr>
        <w:t xml:space="preserve"> tabuľke č. 3</w:t>
      </w:r>
      <w:r w:rsidRPr="00F17045">
        <w:rPr>
          <w:color w:val="000000"/>
          <w:sz w:val="22"/>
          <w:szCs w:val="22"/>
        </w:rPr>
        <w:t>.</w:t>
      </w:r>
    </w:p>
    <w:p w14:paraId="0C7CAF13" w14:textId="77777777" w:rsidR="00F17045" w:rsidRPr="00F17045" w:rsidRDefault="00F17045" w:rsidP="0087675E">
      <w:pPr>
        <w:pStyle w:val="Odsekzoznamu"/>
        <w:numPr>
          <w:ilvl w:val="0"/>
          <w:numId w:val="28"/>
        </w:numPr>
        <w:spacing w:before="240" w:after="120"/>
        <w:ind w:left="284" w:hanging="284"/>
        <w:contextualSpacing w:val="0"/>
        <w:jc w:val="both"/>
        <w:rPr>
          <w:rFonts w:ascii="Arial" w:hAnsi="Arial" w:cs="Arial"/>
          <w:b/>
        </w:rPr>
      </w:pPr>
      <w:r w:rsidRPr="00F17045">
        <w:rPr>
          <w:rFonts w:ascii="Arial" w:hAnsi="Arial" w:cs="Arial"/>
          <w:b/>
        </w:rPr>
        <w:t>Zdôvodnenie navýšenia alokácie prioritnej osi 8 Technická pomoc – REACT-EÚ</w:t>
      </w:r>
    </w:p>
    <w:p w14:paraId="265533AF" w14:textId="77777777" w:rsidR="00F17045" w:rsidRDefault="00F17045" w:rsidP="0087675E">
      <w:pPr>
        <w:spacing w:line="276" w:lineRule="auto"/>
        <w:jc w:val="both"/>
        <w:rPr>
          <w:rFonts w:ascii="Arial Narrow" w:hAnsi="Arial Narrow"/>
        </w:rPr>
      </w:pPr>
      <w:r w:rsidRPr="00F17045">
        <w:rPr>
          <w:sz w:val="22"/>
          <w:szCs w:val="22"/>
        </w:rPr>
        <w:t>Navýšenie alokácie v rámci prioritnej osi 8 došlo z dôvodu enormného navýšenie administratívnej náročnosti zamestnancov podieľajúcich sa na implementácii prioritnej osi 7 – REACT-EÚ. Zároveň navrhovanou revíziou dochádza k doplneniu nových prijímateľov, a to RO pre IROP a SO pre IROP – MK SR, ktorých zamestnanci zabezpečujú efektívnu implementáciu projektov zameraných na obnovu po kríze spojenej s pandémiou COVID-19 vrátane jej sociálnych dôsledkov a na prípravu zeleného, digitálneho a odolného oživenia hospodárstva</w:t>
      </w:r>
      <w:r>
        <w:rPr>
          <w:rFonts w:ascii="Arial Narrow" w:hAnsi="Arial Narrow"/>
        </w:rPr>
        <w:t xml:space="preserve">. </w:t>
      </w:r>
    </w:p>
    <w:p w14:paraId="5CDA0069" w14:textId="77777777" w:rsidR="00F17045" w:rsidRDefault="00F17045" w:rsidP="00377D51">
      <w:pPr>
        <w:spacing w:before="240" w:after="120"/>
        <w:jc w:val="both"/>
        <w:rPr>
          <w:rFonts w:ascii="Arial Narrow" w:hAnsi="Arial Narrow"/>
        </w:rPr>
        <w:sectPr w:rsidR="00F17045" w:rsidSect="00377D51">
          <w:pgSz w:w="11906" w:h="16838"/>
          <w:pgMar w:top="1276" w:right="992" w:bottom="1134" w:left="1247" w:header="709" w:footer="544" w:gutter="0"/>
          <w:cols w:space="708"/>
          <w:docGrid w:linePitch="360"/>
        </w:sectPr>
      </w:pPr>
    </w:p>
    <w:p w14:paraId="50D76D33" w14:textId="77777777" w:rsidR="00F17045" w:rsidRDefault="00F17045" w:rsidP="00F17045">
      <w:pPr>
        <w:pStyle w:val="Odsekzoznamu"/>
        <w:spacing w:before="120" w:after="0" w:line="240" w:lineRule="auto"/>
        <w:ind w:left="0"/>
        <w:jc w:val="both"/>
        <w:rPr>
          <w:rFonts w:ascii="Arial Narrow" w:hAnsi="Arial Narrow"/>
          <w:b/>
        </w:rPr>
      </w:pPr>
      <w:r w:rsidRPr="00A60D45">
        <w:rPr>
          <w:rFonts w:ascii="Arial Narrow" w:hAnsi="Arial Narrow"/>
          <w:b/>
        </w:rPr>
        <w:lastRenderedPageBreak/>
        <w:t xml:space="preserve">Tabuľka č. </w:t>
      </w:r>
      <w:r>
        <w:rPr>
          <w:rFonts w:ascii="Arial Narrow" w:hAnsi="Arial Narrow"/>
          <w:b/>
        </w:rPr>
        <w:t>3</w:t>
      </w:r>
      <w:r w:rsidRPr="00A60D45">
        <w:rPr>
          <w:rFonts w:ascii="Arial Narrow" w:hAnsi="Arial Narrow"/>
          <w:b/>
        </w:rPr>
        <w:t xml:space="preserve">. Prehľad vybraných výstupových </w:t>
      </w:r>
      <w:r>
        <w:rPr>
          <w:rFonts w:ascii="Arial Narrow" w:hAnsi="Arial Narrow"/>
          <w:b/>
        </w:rPr>
        <w:t xml:space="preserve">a výsledkových </w:t>
      </w:r>
      <w:r w:rsidRPr="00A60D45">
        <w:rPr>
          <w:rFonts w:ascii="Arial Narrow" w:hAnsi="Arial Narrow"/>
          <w:b/>
        </w:rPr>
        <w:t>ukazovateľov pri ktorých dochádza k zmene cieľových hodnôt</w:t>
      </w:r>
      <w:r>
        <w:rPr>
          <w:rFonts w:ascii="Arial Narrow" w:hAnsi="Arial Narrow"/>
          <w:b/>
        </w:rPr>
        <w:t xml:space="preserve"> v rámci prioritnej osi 7 – REACT-EÚ a prioritnej osi 8 – Technická pomoc – REACT-EÚ</w:t>
      </w:r>
    </w:p>
    <w:p w14:paraId="73851916" w14:textId="77777777" w:rsidR="00F17045" w:rsidRDefault="00F17045" w:rsidP="00F17045">
      <w:pPr>
        <w:pStyle w:val="Odsekzoznamu"/>
        <w:spacing w:before="120" w:after="0" w:line="240" w:lineRule="auto"/>
        <w:ind w:left="0"/>
        <w:jc w:val="both"/>
        <w:rPr>
          <w:rFonts w:ascii="Arial" w:hAnsi="Arial" w:cs="Arial"/>
          <w:b/>
          <w:i/>
          <w:sz w:val="16"/>
          <w:szCs w:val="16"/>
        </w:rPr>
      </w:pPr>
    </w:p>
    <w:p w14:paraId="16ED6F25" w14:textId="77777777" w:rsidR="00377D51" w:rsidRDefault="00377D51" w:rsidP="00377D51">
      <w:pPr>
        <w:pStyle w:val="Odsekzoznamu"/>
        <w:spacing w:before="120" w:after="0" w:line="240" w:lineRule="auto"/>
        <w:ind w:left="0"/>
        <w:jc w:val="both"/>
        <w:rPr>
          <w:rFonts w:ascii="Arial" w:hAnsi="Arial" w:cs="Arial"/>
          <w:b/>
          <w:i/>
          <w:sz w:val="16"/>
          <w:szCs w:val="16"/>
        </w:rPr>
      </w:pPr>
    </w:p>
    <w:p w14:paraId="5BA896DF" w14:textId="77777777" w:rsidR="00D86668" w:rsidRPr="008975D9" w:rsidRDefault="00D86668" w:rsidP="00D86668">
      <w:pPr>
        <w:pStyle w:val="Odsekzoznamu"/>
        <w:spacing w:before="120" w:after="0" w:line="240" w:lineRule="auto"/>
        <w:ind w:left="0"/>
        <w:jc w:val="both"/>
        <w:rPr>
          <w:rFonts w:ascii="Arial" w:hAnsi="Arial" w:cs="Arial"/>
          <w:b/>
          <w:i/>
          <w:sz w:val="16"/>
          <w:szCs w:val="16"/>
        </w:rPr>
      </w:pPr>
      <w:r w:rsidRPr="008975D9">
        <w:rPr>
          <w:rFonts w:ascii="Arial" w:hAnsi="Arial" w:cs="Arial"/>
          <w:b/>
          <w:i/>
          <w:sz w:val="16"/>
          <w:szCs w:val="16"/>
        </w:rPr>
        <w:t xml:space="preserve">Špecifický cieľ 7.2: </w:t>
      </w:r>
      <w:r w:rsidRPr="008975D9">
        <w:rPr>
          <w:rFonts w:ascii="Arial" w:hAnsi="Arial" w:cs="Arial"/>
          <w:b/>
          <w:iCs/>
          <w:sz w:val="16"/>
          <w:szCs w:val="16"/>
        </w:rPr>
        <w:t>Zvýšenie atraktivity a prepravnej kapacity nemotorovej dopravy (predovšetkým cyklistickej dopravy) na celkovom počte prepravených osôb.</w:t>
      </w:r>
    </w:p>
    <w:p w14:paraId="6DB0D5BB" w14:textId="77777777" w:rsidR="00D86668" w:rsidRPr="008975D9" w:rsidRDefault="00D86668" w:rsidP="00D86668">
      <w:pPr>
        <w:rPr>
          <w:rStyle w:val="Zvraznenie"/>
          <w:sz w:val="16"/>
          <w:szCs w:val="16"/>
        </w:rPr>
      </w:pPr>
    </w:p>
    <w:p w14:paraId="34045647" w14:textId="77777777" w:rsidR="00D86668" w:rsidRPr="008975D9" w:rsidRDefault="00D86668" w:rsidP="00D86668">
      <w:pPr>
        <w:pStyle w:val="Odsekzoznamu"/>
        <w:spacing w:before="120" w:after="0" w:line="240" w:lineRule="auto"/>
        <w:ind w:left="0"/>
        <w:jc w:val="both"/>
        <w:rPr>
          <w:rStyle w:val="Zvraznenie"/>
          <w:rFonts w:ascii="Arial" w:hAnsi="Arial" w:cs="Arial"/>
          <w:sz w:val="16"/>
          <w:szCs w:val="16"/>
        </w:rPr>
      </w:pPr>
      <w:r w:rsidRPr="008975D9">
        <w:rPr>
          <w:rStyle w:val="Zvraznenie"/>
          <w:rFonts w:ascii="Arial" w:hAnsi="Arial" w:cs="Arial"/>
          <w:sz w:val="16"/>
          <w:szCs w:val="16"/>
        </w:rPr>
        <w:t>Výstupové ukazovatele pre špecifický cieľ č. 7.2.</w:t>
      </w:r>
    </w:p>
    <w:p w14:paraId="256EB8A3" w14:textId="77777777" w:rsidR="00D86668" w:rsidRPr="008975D9" w:rsidRDefault="00D86668" w:rsidP="00D86668">
      <w:pPr>
        <w:rPr>
          <w:sz w:val="16"/>
          <w:szCs w:val="16"/>
        </w:rPr>
      </w:pPr>
    </w:p>
    <w:tbl>
      <w:tblPr>
        <w:tblW w:w="1473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99"/>
        <w:gridCol w:w="1910"/>
        <w:gridCol w:w="992"/>
        <w:gridCol w:w="709"/>
        <w:gridCol w:w="1134"/>
        <w:gridCol w:w="567"/>
        <w:gridCol w:w="567"/>
        <w:gridCol w:w="850"/>
        <w:gridCol w:w="709"/>
        <w:gridCol w:w="992"/>
        <w:gridCol w:w="5603"/>
      </w:tblGrid>
      <w:tr w:rsidR="00D86668" w:rsidRPr="008975D9" w14:paraId="69531E2F" w14:textId="77777777" w:rsidTr="00C11675">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23AE0CB3" w14:textId="77777777" w:rsidR="00D86668" w:rsidRPr="008975D9" w:rsidRDefault="00D86668" w:rsidP="00C11675">
            <w:pPr>
              <w:jc w:val="center"/>
              <w:rPr>
                <w:b/>
                <w:bCs/>
                <w:sz w:val="16"/>
                <w:szCs w:val="16"/>
              </w:rPr>
            </w:pPr>
            <w:r w:rsidRPr="008975D9">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6729ED71" w14:textId="77777777" w:rsidR="00D86668" w:rsidRPr="008975D9" w:rsidRDefault="00D86668" w:rsidP="00C11675">
            <w:pPr>
              <w:jc w:val="center"/>
              <w:rPr>
                <w:b/>
                <w:bCs/>
                <w:sz w:val="16"/>
                <w:szCs w:val="16"/>
              </w:rPr>
            </w:pPr>
            <w:r w:rsidRPr="008975D9">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4E86EDA7" w14:textId="77777777" w:rsidR="00D86668" w:rsidRPr="008975D9" w:rsidRDefault="00D86668" w:rsidP="00C11675">
            <w:pPr>
              <w:jc w:val="center"/>
              <w:rPr>
                <w:b/>
                <w:bCs/>
                <w:sz w:val="16"/>
                <w:szCs w:val="16"/>
              </w:rPr>
            </w:pPr>
            <w:r w:rsidRPr="008975D9">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29580533" w14:textId="77777777" w:rsidR="00D86668" w:rsidRPr="008975D9" w:rsidRDefault="00D86668" w:rsidP="00C11675">
            <w:pPr>
              <w:jc w:val="center"/>
              <w:rPr>
                <w:b/>
                <w:bCs/>
                <w:sz w:val="16"/>
                <w:szCs w:val="16"/>
              </w:rPr>
            </w:pPr>
            <w:r w:rsidRPr="008975D9">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30CC2DBA" w14:textId="77777777" w:rsidR="00D86668" w:rsidRPr="008975D9" w:rsidRDefault="00D86668" w:rsidP="00C11675">
            <w:pPr>
              <w:jc w:val="center"/>
              <w:rPr>
                <w:b/>
                <w:bCs/>
                <w:sz w:val="16"/>
                <w:szCs w:val="16"/>
              </w:rPr>
            </w:pPr>
            <w:r w:rsidRPr="008975D9">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2402F4E4" w14:textId="77777777" w:rsidR="00D86668" w:rsidRPr="008975D9" w:rsidRDefault="00D86668" w:rsidP="00C11675">
            <w:pPr>
              <w:jc w:val="center"/>
              <w:rPr>
                <w:b/>
                <w:bCs/>
                <w:sz w:val="16"/>
                <w:szCs w:val="16"/>
              </w:rPr>
            </w:pPr>
            <w:r w:rsidRPr="008975D9">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20798AC6" w14:textId="77777777" w:rsidR="00D86668" w:rsidRPr="008975D9" w:rsidRDefault="00D86668" w:rsidP="00C11675">
            <w:pPr>
              <w:jc w:val="center"/>
              <w:rPr>
                <w:b/>
                <w:bCs/>
                <w:sz w:val="16"/>
                <w:szCs w:val="16"/>
              </w:rPr>
            </w:pPr>
            <w:r w:rsidRPr="008975D9">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71CD8D64" w14:textId="77777777" w:rsidR="00D86668" w:rsidRPr="008975D9" w:rsidRDefault="00D86668" w:rsidP="00C11675">
            <w:pPr>
              <w:jc w:val="center"/>
              <w:rPr>
                <w:b/>
                <w:bCs/>
                <w:sz w:val="16"/>
                <w:szCs w:val="16"/>
              </w:rPr>
            </w:pPr>
            <w:r w:rsidRPr="008975D9">
              <w:rPr>
                <w:b/>
                <w:bCs/>
                <w:sz w:val="16"/>
                <w:szCs w:val="16"/>
              </w:rPr>
              <w:t>Frekvencia podávania správ</w:t>
            </w:r>
          </w:p>
        </w:tc>
        <w:tc>
          <w:tcPr>
            <w:tcW w:w="5603" w:type="dxa"/>
            <w:vMerge w:val="restart"/>
            <w:tcBorders>
              <w:top w:val="single" w:sz="8" w:space="0" w:color="4E67C8"/>
              <w:left w:val="single" w:sz="8" w:space="0" w:color="4E67C8"/>
              <w:right w:val="single" w:sz="8" w:space="0" w:color="4E67C8"/>
            </w:tcBorders>
          </w:tcPr>
          <w:p w14:paraId="75B62FC2"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4ACCE7E1" w14:textId="77777777" w:rsidTr="00C11675">
        <w:trPr>
          <w:trHeight w:val="397"/>
        </w:trPr>
        <w:tc>
          <w:tcPr>
            <w:tcW w:w="699" w:type="dxa"/>
            <w:vMerge/>
            <w:tcBorders>
              <w:left w:val="single" w:sz="8" w:space="0" w:color="4E67C8"/>
              <w:bottom w:val="single" w:sz="18" w:space="0" w:color="4E67C8"/>
              <w:right w:val="single" w:sz="8" w:space="0" w:color="4E67C8"/>
            </w:tcBorders>
            <w:shd w:val="clear" w:color="auto" w:fill="auto"/>
          </w:tcPr>
          <w:p w14:paraId="34B9E2E4" w14:textId="77777777" w:rsidR="00D86668" w:rsidRPr="008975D9" w:rsidRDefault="00D86668" w:rsidP="00C11675">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A421B4B"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351DFD9D" w14:textId="77777777" w:rsidR="00D86668" w:rsidRPr="008975D9" w:rsidRDefault="00D86668" w:rsidP="00C11675">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5A97430E" w14:textId="77777777" w:rsidR="00D86668" w:rsidRPr="008975D9" w:rsidRDefault="00D86668" w:rsidP="00C11675">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77F453D0" w14:textId="77777777" w:rsidR="00D86668" w:rsidRPr="008975D9" w:rsidRDefault="00D86668" w:rsidP="00C11675">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34049B2" w14:textId="77777777" w:rsidR="00D86668" w:rsidRPr="008975D9" w:rsidRDefault="00D86668" w:rsidP="00C11675">
            <w:pPr>
              <w:jc w:val="center"/>
              <w:rPr>
                <w:b/>
                <w:bCs/>
                <w:sz w:val="16"/>
                <w:szCs w:val="16"/>
              </w:rPr>
            </w:pPr>
            <w:r w:rsidRPr="008975D9">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4582AAD" w14:textId="77777777" w:rsidR="00D86668" w:rsidRPr="008975D9" w:rsidRDefault="00D86668" w:rsidP="00C11675">
            <w:pPr>
              <w:jc w:val="center"/>
              <w:rPr>
                <w:b/>
                <w:bCs/>
                <w:sz w:val="16"/>
                <w:szCs w:val="16"/>
              </w:rPr>
            </w:pPr>
            <w:r w:rsidRPr="008975D9">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569EFCF" w14:textId="77777777" w:rsidR="00D86668" w:rsidRPr="008975D9" w:rsidRDefault="00D86668" w:rsidP="00C11675">
            <w:pPr>
              <w:jc w:val="center"/>
              <w:rPr>
                <w:b/>
                <w:bCs/>
                <w:sz w:val="16"/>
                <w:szCs w:val="16"/>
              </w:rPr>
            </w:pPr>
            <w:r w:rsidRPr="008975D9">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0C21C48D"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tcPr>
          <w:p w14:paraId="067DFB5D" w14:textId="77777777" w:rsidR="00D86668" w:rsidRPr="008975D9" w:rsidRDefault="00D86668" w:rsidP="00C11675">
            <w:pPr>
              <w:rPr>
                <w:b/>
                <w:bCs/>
                <w:sz w:val="16"/>
                <w:szCs w:val="16"/>
              </w:rPr>
            </w:pPr>
          </w:p>
        </w:tc>
        <w:tc>
          <w:tcPr>
            <w:tcW w:w="5603" w:type="dxa"/>
            <w:vMerge/>
            <w:tcBorders>
              <w:left w:val="single" w:sz="8" w:space="0" w:color="4E67C8"/>
              <w:bottom w:val="single" w:sz="18" w:space="0" w:color="4E67C8"/>
              <w:right w:val="single" w:sz="8" w:space="0" w:color="4E67C8"/>
            </w:tcBorders>
          </w:tcPr>
          <w:p w14:paraId="2A20E3B9" w14:textId="77777777" w:rsidR="00D86668" w:rsidRPr="008975D9" w:rsidRDefault="00D86668" w:rsidP="00C11675">
            <w:pPr>
              <w:rPr>
                <w:b/>
                <w:bCs/>
                <w:sz w:val="16"/>
                <w:szCs w:val="16"/>
              </w:rPr>
            </w:pPr>
          </w:p>
        </w:tc>
      </w:tr>
      <w:tr w:rsidR="00D86668" w:rsidRPr="008975D9" w14:paraId="33555201"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1E87B01" w14:textId="77777777" w:rsidR="00D86668" w:rsidRPr="008975D9" w:rsidRDefault="00D86668" w:rsidP="00C11675">
            <w:pPr>
              <w:rPr>
                <w:bCs/>
                <w:sz w:val="16"/>
                <w:szCs w:val="16"/>
              </w:rPr>
            </w:pPr>
            <w:r w:rsidRPr="008975D9">
              <w:rPr>
                <w:bCs/>
                <w:sz w:val="16"/>
                <w:szCs w:val="16"/>
              </w:rPr>
              <w:t>O0128</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C3AE27" w14:textId="77777777" w:rsidR="00D86668" w:rsidRPr="008975D9" w:rsidRDefault="00D86668" w:rsidP="00C11675">
            <w:pPr>
              <w:rPr>
                <w:sz w:val="16"/>
                <w:szCs w:val="16"/>
              </w:rPr>
            </w:pPr>
            <w:r w:rsidRPr="008975D9">
              <w:rPr>
                <w:sz w:val="16"/>
                <w:szCs w:val="16"/>
              </w:rPr>
              <w:t>Dĺžka nových úsekov cyklistických komunikácií</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3FCF15F" w14:textId="77777777" w:rsidR="00D86668" w:rsidRPr="008975D9" w:rsidRDefault="00D86668" w:rsidP="00C11675">
            <w:pPr>
              <w:jc w:val="center"/>
              <w:rPr>
                <w:sz w:val="16"/>
                <w:szCs w:val="16"/>
              </w:rPr>
            </w:pPr>
            <w:r w:rsidRPr="008975D9">
              <w:rPr>
                <w:sz w:val="16"/>
                <w:szCs w:val="16"/>
              </w:rPr>
              <w:t>km</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9C4B63B"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A8FE4DB"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4B5CDC"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361958"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977325E" w14:textId="77777777" w:rsidR="00D86668" w:rsidRPr="008975D9" w:rsidRDefault="00D86668" w:rsidP="00C11675">
            <w:pPr>
              <w:jc w:val="center"/>
              <w:rPr>
                <w:sz w:val="16"/>
                <w:szCs w:val="16"/>
              </w:rPr>
            </w:pPr>
            <w:r>
              <w:rPr>
                <w:sz w:val="16"/>
                <w:szCs w:val="16"/>
              </w:rPr>
              <w:t>114</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CD3FB1E"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B5585DE"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tcPr>
          <w:p w14:paraId="0AFD5292" w14:textId="77777777" w:rsidR="00D86668" w:rsidRPr="008975D9" w:rsidRDefault="00D86668" w:rsidP="00C11675">
            <w:pPr>
              <w:jc w:val="both"/>
              <w:rPr>
                <w:sz w:val="16"/>
                <w:szCs w:val="16"/>
              </w:rPr>
            </w:pPr>
            <w:r w:rsidRPr="008975D9">
              <w:rPr>
                <w:sz w:val="16"/>
                <w:szCs w:val="16"/>
              </w:rPr>
              <w:t xml:space="preserve">Ukazovateľ priamo súvisí s oprávneným typom aktivity A. rekonštrukcia, modernizácia a výstavba infraštruktúry pre nemotorovú dopravu. Hodnota ukazovateľa bola </w:t>
            </w:r>
            <w:r w:rsidRPr="000D7103">
              <w:rPr>
                <w:sz w:val="16"/>
                <w:szCs w:val="16"/>
              </w:rPr>
              <w:t>stanovená na základe dopytu reálnych investičných</w:t>
            </w:r>
            <w:r w:rsidRPr="008975D9">
              <w:rPr>
                <w:sz w:val="16"/>
                <w:szCs w:val="16"/>
              </w:rPr>
              <w:t xml:space="preserve"> nákladov (investičná náročnosť na 1 km vybudovanej cyklotrasy) už implementovaných projektov v rámci predchádzajúcej výzvy IROP na podporu nemotorovej dopravy ako aj stavu pripravenosti projektov krajských miest a VÚC. Na cieľovú hodnotu ukazovateľa mala vplyv aj výška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 xml:space="preserve"> z alokácie REACT-EÚ.</w:t>
            </w:r>
          </w:p>
        </w:tc>
      </w:tr>
    </w:tbl>
    <w:p w14:paraId="6B37B538" w14:textId="77777777" w:rsidR="00D86668" w:rsidRPr="008975D9" w:rsidRDefault="00D86668" w:rsidP="00D86668">
      <w:pPr>
        <w:rPr>
          <w:sz w:val="16"/>
          <w:szCs w:val="16"/>
        </w:rPr>
      </w:pPr>
    </w:p>
    <w:p w14:paraId="533022C6" w14:textId="77777777" w:rsidR="00D86668" w:rsidRPr="008975D9" w:rsidRDefault="00D86668" w:rsidP="00D86668">
      <w:pPr>
        <w:pStyle w:val="Odsekzoznamu"/>
        <w:spacing w:before="120" w:after="0" w:line="240" w:lineRule="auto"/>
        <w:ind w:left="0"/>
        <w:jc w:val="both"/>
        <w:rPr>
          <w:rFonts w:ascii="Arial" w:hAnsi="Arial" w:cs="Arial"/>
          <w:b/>
          <w:i/>
          <w:sz w:val="16"/>
          <w:szCs w:val="16"/>
        </w:rPr>
      </w:pPr>
      <w:r w:rsidRPr="008975D9">
        <w:rPr>
          <w:rFonts w:ascii="Arial" w:hAnsi="Arial" w:cs="Arial"/>
          <w:b/>
          <w:i/>
          <w:sz w:val="16"/>
          <w:szCs w:val="16"/>
        </w:rPr>
        <w:t xml:space="preserve">Špecifický cieľ 7.3: </w:t>
      </w:r>
      <w:r w:rsidRPr="008975D9">
        <w:rPr>
          <w:rFonts w:ascii="Arial" w:hAnsi="Arial" w:cs="Arial"/>
          <w:b/>
          <w:iCs/>
          <w:sz w:val="16"/>
          <w:szCs w:val="16"/>
        </w:rPr>
        <w:t>Zlepšenie environmentálnych aspektov v mestách a mestských oblastiach</w:t>
      </w:r>
    </w:p>
    <w:p w14:paraId="78B2E277" w14:textId="77777777" w:rsidR="00D86668" w:rsidRPr="008975D9" w:rsidRDefault="00D86668" w:rsidP="00D86668">
      <w:pPr>
        <w:rPr>
          <w:rStyle w:val="Siln"/>
        </w:rPr>
      </w:pPr>
    </w:p>
    <w:p w14:paraId="01A6D596" w14:textId="77777777" w:rsidR="00D86668" w:rsidRPr="008975D9" w:rsidRDefault="00D86668" w:rsidP="00D86668">
      <w:pPr>
        <w:pStyle w:val="Odsekzoznamu"/>
        <w:spacing w:before="120" w:after="0" w:line="240" w:lineRule="auto"/>
        <w:ind w:left="0"/>
        <w:jc w:val="both"/>
        <w:rPr>
          <w:rStyle w:val="Zvraznenie"/>
          <w:rFonts w:ascii="Arial" w:hAnsi="Arial" w:cs="Arial"/>
          <w:sz w:val="16"/>
          <w:szCs w:val="16"/>
        </w:rPr>
      </w:pPr>
      <w:r w:rsidRPr="008975D9">
        <w:rPr>
          <w:rStyle w:val="Zvraznenie"/>
          <w:rFonts w:ascii="Arial" w:hAnsi="Arial" w:cs="Arial"/>
          <w:sz w:val="16"/>
          <w:szCs w:val="16"/>
        </w:rPr>
        <w:t>Výstupové ukazovatele pre špecifický cieľ č. 7.3.</w:t>
      </w:r>
    </w:p>
    <w:p w14:paraId="785C93C3" w14:textId="77777777" w:rsidR="00D86668" w:rsidRPr="008975D9" w:rsidRDefault="00D86668" w:rsidP="00D86668">
      <w:pPr>
        <w:rPr>
          <w:sz w:val="16"/>
          <w:szCs w:val="16"/>
        </w:rPr>
      </w:pPr>
    </w:p>
    <w:tbl>
      <w:tblPr>
        <w:tblW w:w="1473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99"/>
        <w:gridCol w:w="1910"/>
        <w:gridCol w:w="992"/>
        <w:gridCol w:w="709"/>
        <w:gridCol w:w="1350"/>
        <w:gridCol w:w="567"/>
        <w:gridCol w:w="567"/>
        <w:gridCol w:w="850"/>
        <w:gridCol w:w="709"/>
        <w:gridCol w:w="992"/>
        <w:gridCol w:w="5387"/>
      </w:tblGrid>
      <w:tr w:rsidR="00D86668" w:rsidRPr="008975D9" w14:paraId="39942404" w14:textId="77777777" w:rsidTr="00C11675">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129D897E" w14:textId="77777777" w:rsidR="00D86668" w:rsidRPr="008975D9" w:rsidRDefault="00D86668" w:rsidP="00C11675">
            <w:pPr>
              <w:jc w:val="center"/>
              <w:rPr>
                <w:b/>
                <w:bCs/>
                <w:sz w:val="16"/>
                <w:szCs w:val="16"/>
              </w:rPr>
            </w:pPr>
            <w:r w:rsidRPr="008975D9">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40B06A22" w14:textId="77777777" w:rsidR="00D86668" w:rsidRPr="008975D9" w:rsidRDefault="00D86668" w:rsidP="00C11675">
            <w:pPr>
              <w:jc w:val="center"/>
              <w:rPr>
                <w:b/>
                <w:bCs/>
                <w:sz w:val="16"/>
                <w:szCs w:val="16"/>
              </w:rPr>
            </w:pPr>
            <w:r w:rsidRPr="008975D9">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4AE47F81" w14:textId="77777777" w:rsidR="00D86668" w:rsidRPr="008975D9" w:rsidRDefault="00D86668" w:rsidP="00C11675">
            <w:pPr>
              <w:jc w:val="center"/>
              <w:rPr>
                <w:b/>
                <w:bCs/>
                <w:sz w:val="16"/>
                <w:szCs w:val="16"/>
              </w:rPr>
            </w:pPr>
            <w:r w:rsidRPr="008975D9">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3AFC59F2" w14:textId="77777777" w:rsidR="00D86668" w:rsidRPr="008975D9" w:rsidRDefault="00D86668" w:rsidP="00C11675">
            <w:pPr>
              <w:jc w:val="center"/>
              <w:rPr>
                <w:b/>
                <w:bCs/>
                <w:sz w:val="16"/>
                <w:szCs w:val="16"/>
              </w:rPr>
            </w:pPr>
            <w:r w:rsidRPr="008975D9">
              <w:rPr>
                <w:b/>
                <w:bCs/>
                <w:sz w:val="16"/>
                <w:szCs w:val="16"/>
              </w:rPr>
              <w:t>Fond</w:t>
            </w:r>
          </w:p>
        </w:tc>
        <w:tc>
          <w:tcPr>
            <w:tcW w:w="1350" w:type="dxa"/>
            <w:vMerge w:val="restart"/>
            <w:tcBorders>
              <w:top w:val="single" w:sz="8" w:space="0" w:color="4E67C8"/>
              <w:left w:val="single" w:sz="8" w:space="0" w:color="4E67C8"/>
              <w:right w:val="single" w:sz="8" w:space="0" w:color="4E67C8"/>
            </w:tcBorders>
            <w:shd w:val="clear" w:color="auto" w:fill="auto"/>
            <w:vAlign w:val="center"/>
          </w:tcPr>
          <w:p w14:paraId="7E1369D5" w14:textId="77777777" w:rsidR="00D86668" w:rsidRPr="008975D9" w:rsidRDefault="00D86668" w:rsidP="00C11675">
            <w:pPr>
              <w:jc w:val="center"/>
              <w:rPr>
                <w:b/>
                <w:bCs/>
                <w:sz w:val="16"/>
                <w:szCs w:val="16"/>
              </w:rPr>
            </w:pPr>
            <w:r w:rsidRPr="008975D9">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49D0172D" w14:textId="77777777" w:rsidR="00D86668" w:rsidRPr="008975D9" w:rsidRDefault="00D86668" w:rsidP="00C11675">
            <w:pPr>
              <w:jc w:val="center"/>
              <w:rPr>
                <w:b/>
                <w:bCs/>
                <w:sz w:val="16"/>
                <w:szCs w:val="16"/>
              </w:rPr>
            </w:pPr>
            <w:r w:rsidRPr="008975D9">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4F15EA7F" w14:textId="77777777" w:rsidR="00D86668" w:rsidRPr="008975D9" w:rsidRDefault="00D86668" w:rsidP="00C11675">
            <w:pPr>
              <w:jc w:val="center"/>
              <w:rPr>
                <w:b/>
                <w:bCs/>
                <w:sz w:val="16"/>
                <w:szCs w:val="16"/>
              </w:rPr>
            </w:pPr>
            <w:r w:rsidRPr="008975D9">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16D1D91D" w14:textId="77777777" w:rsidR="00D86668" w:rsidRPr="008975D9" w:rsidRDefault="00D86668" w:rsidP="00C11675">
            <w:pPr>
              <w:jc w:val="center"/>
              <w:rPr>
                <w:b/>
                <w:bCs/>
                <w:sz w:val="16"/>
                <w:szCs w:val="16"/>
              </w:rPr>
            </w:pPr>
            <w:r w:rsidRPr="008975D9">
              <w:rPr>
                <w:b/>
                <w:bCs/>
                <w:sz w:val="16"/>
                <w:szCs w:val="16"/>
              </w:rPr>
              <w:t>Frekvencia podávania správ</w:t>
            </w:r>
          </w:p>
        </w:tc>
        <w:tc>
          <w:tcPr>
            <w:tcW w:w="5387" w:type="dxa"/>
            <w:vMerge w:val="restart"/>
            <w:tcBorders>
              <w:top w:val="single" w:sz="8" w:space="0" w:color="4E67C8"/>
              <w:left w:val="single" w:sz="8" w:space="0" w:color="4E67C8"/>
              <w:right w:val="single" w:sz="8" w:space="0" w:color="4E67C8"/>
            </w:tcBorders>
          </w:tcPr>
          <w:p w14:paraId="0B82F23F"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022193D1" w14:textId="77777777" w:rsidTr="00C11675">
        <w:trPr>
          <w:trHeight w:val="397"/>
        </w:trPr>
        <w:tc>
          <w:tcPr>
            <w:tcW w:w="699" w:type="dxa"/>
            <w:vMerge/>
            <w:tcBorders>
              <w:left w:val="single" w:sz="8" w:space="0" w:color="4E67C8"/>
              <w:bottom w:val="single" w:sz="18" w:space="0" w:color="4E67C8"/>
              <w:right w:val="single" w:sz="8" w:space="0" w:color="4E67C8"/>
            </w:tcBorders>
            <w:shd w:val="clear" w:color="auto" w:fill="auto"/>
          </w:tcPr>
          <w:p w14:paraId="03369216" w14:textId="77777777" w:rsidR="00D86668" w:rsidRPr="008975D9" w:rsidRDefault="00D86668" w:rsidP="00C11675">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F8F074B"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0D17B606" w14:textId="77777777" w:rsidR="00D86668" w:rsidRPr="008975D9" w:rsidRDefault="00D86668" w:rsidP="00C11675">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61AEAC44" w14:textId="77777777" w:rsidR="00D86668" w:rsidRPr="008975D9" w:rsidRDefault="00D86668" w:rsidP="00C11675">
            <w:pPr>
              <w:rPr>
                <w:b/>
                <w:bCs/>
                <w:sz w:val="16"/>
                <w:szCs w:val="16"/>
              </w:rPr>
            </w:pPr>
          </w:p>
        </w:tc>
        <w:tc>
          <w:tcPr>
            <w:tcW w:w="1350" w:type="dxa"/>
            <w:vMerge/>
            <w:tcBorders>
              <w:left w:val="single" w:sz="8" w:space="0" w:color="4E67C8"/>
              <w:bottom w:val="single" w:sz="18" w:space="0" w:color="4E67C8"/>
              <w:right w:val="single" w:sz="8" w:space="0" w:color="4E67C8"/>
            </w:tcBorders>
            <w:shd w:val="clear" w:color="auto" w:fill="auto"/>
          </w:tcPr>
          <w:p w14:paraId="05138D5D" w14:textId="77777777" w:rsidR="00D86668" w:rsidRPr="008975D9" w:rsidRDefault="00D86668" w:rsidP="00C11675">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A22E866" w14:textId="77777777" w:rsidR="00D86668" w:rsidRPr="008975D9" w:rsidRDefault="00D86668" w:rsidP="00C11675">
            <w:pPr>
              <w:jc w:val="center"/>
              <w:rPr>
                <w:b/>
                <w:bCs/>
                <w:sz w:val="16"/>
                <w:szCs w:val="16"/>
              </w:rPr>
            </w:pPr>
            <w:r w:rsidRPr="008975D9">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83A7311" w14:textId="77777777" w:rsidR="00D86668" w:rsidRPr="008975D9" w:rsidRDefault="00D86668" w:rsidP="00C11675">
            <w:pPr>
              <w:jc w:val="center"/>
              <w:rPr>
                <w:b/>
                <w:bCs/>
                <w:sz w:val="16"/>
                <w:szCs w:val="16"/>
              </w:rPr>
            </w:pPr>
            <w:r w:rsidRPr="008975D9">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55CF6C4" w14:textId="77777777" w:rsidR="00D86668" w:rsidRPr="008975D9" w:rsidRDefault="00D86668" w:rsidP="00C11675">
            <w:pPr>
              <w:jc w:val="center"/>
              <w:rPr>
                <w:b/>
                <w:bCs/>
                <w:sz w:val="16"/>
                <w:szCs w:val="16"/>
              </w:rPr>
            </w:pPr>
            <w:r w:rsidRPr="008975D9">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1A73A1C2"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tcPr>
          <w:p w14:paraId="6111602C" w14:textId="77777777" w:rsidR="00D86668" w:rsidRPr="008975D9" w:rsidRDefault="00D86668" w:rsidP="00C11675">
            <w:pPr>
              <w:rPr>
                <w:b/>
                <w:bCs/>
                <w:sz w:val="16"/>
                <w:szCs w:val="16"/>
              </w:rPr>
            </w:pPr>
          </w:p>
        </w:tc>
        <w:tc>
          <w:tcPr>
            <w:tcW w:w="5387" w:type="dxa"/>
            <w:vMerge/>
            <w:tcBorders>
              <w:left w:val="single" w:sz="8" w:space="0" w:color="4E67C8"/>
              <w:bottom w:val="single" w:sz="18" w:space="0" w:color="4E67C8"/>
              <w:right w:val="single" w:sz="8" w:space="0" w:color="4E67C8"/>
            </w:tcBorders>
          </w:tcPr>
          <w:p w14:paraId="72A369DF" w14:textId="77777777" w:rsidR="00D86668" w:rsidRPr="008975D9" w:rsidRDefault="00D86668" w:rsidP="00C11675">
            <w:pPr>
              <w:rPr>
                <w:b/>
                <w:bCs/>
                <w:sz w:val="16"/>
                <w:szCs w:val="16"/>
              </w:rPr>
            </w:pPr>
          </w:p>
        </w:tc>
      </w:tr>
      <w:tr w:rsidR="00D86668" w:rsidRPr="00AF1D88" w14:paraId="18CB9216"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305985" w14:textId="77777777" w:rsidR="00D86668" w:rsidRPr="00AF1D88" w:rsidRDefault="00D86668" w:rsidP="00C11675">
            <w:pPr>
              <w:rPr>
                <w:bCs/>
                <w:sz w:val="16"/>
                <w:szCs w:val="16"/>
              </w:rPr>
            </w:pPr>
            <w:r w:rsidRPr="00AF1D88">
              <w:rPr>
                <w:bCs/>
                <w:sz w:val="16"/>
                <w:szCs w:val="16"/>
              </w:rPr>
              <w:t>O0155</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2E71DAF" w14:textId="77777777" w:rsidR="00D86668" w:rsidRPr="00AF1D88" w:rsidRDefault="00D86668" w:rsidP="00C11675">
            <w:pPr>
              <w:rPr>
                <w:sz w:val="16"/>
                <w:szCs w:val="16"/>
              </w:rPr>
            </w:pPr>
            <w:r w:rsidRPr="00AF1D88">
              <w:rPr>
                <w:sz w:val="16"/>
                <w:szCs w:val="16"/>
              </w:rPr>
              <w:t>Počet vybudovaných prvkov zelenej infraštruktúry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76A8F4E" w14:textId="77777777" w:rsidR="00D86668" w:rsidRPr="00AF1D88" w:rsidRDefault="00D86668" w:rsidP="00C11675">
            <w:pPr>
              <w:jc w:val="center"/>
              <w:rPr>
                <w:sz w:val="16"/>
                <w:szCs w:val="16"/>
              </w:rPr>
            </w:pPr>
            <w:r w:rsidRPr="00AF1D88">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E0856CF" w14:textId="77777777" w:rsidR="00D86668" w:rsidRPr="00AF1D88" w:rsidRDefault="00D86668" w:rsidP="00C11675">
            <w:pPr>
              <w:jc w:val="center"/>
              <w:rPr>
                <w:sz w:val="16"/>
                <w:szCs w:val="16"/>
              </w:rPr>
            </w:pPr>
            <w:r w:rsidRPr="00AF1D88">
              <w:rPr>
                <w:sz w:val="16"/>
                <w:szCs w:val="16"/>
              </w:rPr>
              <w:t>EFRR</w:t>
            </w:r>
          </w:p>
        </w:tc>
        <w:tc>
          <w:tcPr>
            <w:tcW w:w="13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0F73B3C" w14:textId="77777777" w:rsidR="00D86668" w:rsidRPr="00AF1D88" w:rsidRDefault="00D86668" w:rsidP="00C11675">
            <w:pPr>
              <w:jc w:val="center"/>
              <w:rPr>
                <w:sz w:val="16"/>
                <w:szCs w:val="16"/>
              </w:rPr>
            </w:pPr>
            <w:r w:rsidRPr="00AF1D88">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A84656" w14:textId="77777777" w:rsidR="00D86668" w:rsidRPr="00AF1D88" w:rsidRDefault="00D86668" w:rsidP="00C11675">
            <w:pPr>
              <w:jc w:val="center"/>
              <w:rPr>
                <w:sz w:val="16"/>
                <w:szCs w:val="16"/>
              </w:rPr>
            </w:pPr>
            <w:r w:rsidRPr="00AF1D88">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9F2D67" w14:textId="77777777" w:rsidR="00D86668" w:rsidRPr="00AF1D88" w:rsidRDefault="00D86668" w:rsidP="00C11675">
            <w:pPr>
              <w:jc w:val="center"/>
              <w:rPr>
                <w:sz w:val="16"/>
                <w:szCs w:val="16"/>
              </w:rPr>
            </w:pPr>
            <w:r w:rsidRPr="00AF1D88">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E9DB24A" w14:textId="77777777" w:rsidR="00D86668" w:rsidRPr="00AF1D88" w:rsidRDefault="00D86668" w:rsidP="00C11675">
            <w:pPr>
              <w:jc w:val="center"/>
              <w:rPr>
                <w:sz w:val="16"/>
                <w:szCs w:val="16"/>
              </w:rPr>
            </w:pPr>
            <w:r>
              <w:rPr>
                <w:sz w:val="16"/>
                <w:szCs w:val="16"/>
              </w:rPr>
              <w:t>13</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2CDB3F9" w14:textId="77777777" w:rsidR="00D86668" w:rsidRPr="00AF1D88" w:rsidRDefault="00D86668" w:rsidP="00C11675">
            <w:pPr>
              <w:jc w:val="center"/>
              <w:rPr>
                <w:sz w:val="16"/>
                <w:szCs w:val="16"/>
              </w:rPr>
            </w:pPr>
            <w:r w:rsidRPr="00AF1D88">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87E314C" w14:textId="77777777" w:rsidR="00D86668" w:rsidRPr="00AF1D88" w:rsidRDefault="00D86668" w:rsidP="00C11675">
            <w:pPr>
              <w:jc w:val="center"/>
              <w:rPr>
                <w:sz w:val="16"/>
                <w:szCs w:val="16"/>
              </w:rPr>
            </w:pPr>
            <w:r w:rsidRPr="00AF1D88">
              <w:rPr>
                <w:sz w:val="16"/>
                <w:szCs w:val="16"/>
              </w:rPr>
              <w:t>ročne</w:t>
            </w:r>
          </w:p>
        </w:tc>
        <w:tc>
          <w:tcPr>
            <w:tcW w:w="5387" w:type="dxa"/>
            <w:tcBorders>
              <w:top w:val="single" w:sz="8" w:space="0" w:color="4E67C8"/>
              <w:left w:val="single" w:sz="8" w:space="0" w:color="4E67C8"/>
              <w:bottom w:val="single" w:sz="8" w:space="0" w:color="4E67C8"/>
              <w:right w:val="single" w:sz="8" w:space="0" w:color="4E67C8"/>
            </w:tcBorders>
          </w:tcPr>
          <w:p w14:paraId="3C360248" w14:textId="77777777" w:rsidR="00D86668" w:rsidRPr="00AF1D88" w:rsidRDefault="00D86668" w:rsidP="00C11675">
            <w:pPr>
              <w:pStyle w:val="Textkomentra"/>
              <w:jc w:val="both"/>
              <w:rPr>
                <w:sz w:val="16"/>
                <w:szCs w:val="16"/>
              </w:rPr>
            </w:pPr>
            <w:r w:rsidRPr="00AF1D88">
              <w:rPr>
                <w:sz w:val="16"/>
                <w:szCs w:val="16"/>
              </w:rPr>
              <w:t>Jedná sa o výstupový ukazovateľ, ktorý z veľkej časti pokrýva oprávnené aktivity pre špecifický cieľ 7.3. Cieľová hodnota ukazovateľa bola stanovená na základe investičnej náročnosti už zrealizovaných projektov v rámci špecifického cieľa 4.3.1 (256 tis. Eur/</w:t>
            </w:r>
            <w:r>
              <w:rPr>
                <w:sz w:val="16"/>
                <w:szCs w:val="16"/>
              </w:rPr>
              <w:t>prvok zelenej infraštruktúry</w:t>
            </w:r>
            <w:r w:rsidRPr="00AF1D88">
              <w:rPr>
                <w:sz w:val="16"/>
                <w:szCs w:val="16"/>
              </w:rPr>
              <w:t xml:space="preserve">). </w:t>
            </w:r>
            <w:r w:rsidRPr="000D7103">
              <w:rPr>
                <w:sz w:val="16"/>
                <w:szCs w:val="16"/>
              </w:rPr>
              <w:t>Hodnota bola znížená s ohľadom na reálny dopyt zo strany žiadateľov. Pôvodné hodnoty ukazovateľov v rámci ŠC 7.3 vychádzali z predpokladaného dopytu na základe údajov SO pre IROP, pričom tento dopyt sa nepotvrdil ako reálny.</w:t>
            </w:r>
            <w:r>
              <w:rPr>
                <w:sz w:val="16"/>
                <w:szCs w:val="16"/>
              </w:rPr>
              <w:t xml:space="preserve"> </w:t>
            </w:r>
            <w:r w:rsidRPr="00AF1D88">
              <w:rPr>
                <w:sz w:val="16"/>
                <w:szCs w:val="16"/>
              </w:rPr>
              <w:t xml:space="preserve">Na základe aktuálneho dopytu žiadateľov v rámci výzvy na predkladanie </w:t>
            </w:r>
            <w:proofErr w:type="spellStart"/>
            <w:r w:rsidRPr="00AF1D88">
              <w:rPr>
                <w:sz w:val="16"/>
                <w:szCs w:val="16"/>
              </w:rPr>
              <w:t>ŽoNFP</w:t>
            </w:r>
            <w:proofErr w:type="spellEnd"/>
            <w:r w:rsidRPr="00AF1D88">
              <w:rPr>
                <w:sz w:val="16"/>
                <w:szCs w:val="16"/>
              </w:rPr>
              <w:t xml:space="preserve"> na podporu zelenej infraštruktúry IROP-PO4-SC431-2020-65 na jednotlivé typy aktivít bola hodnota ukazovateľa zreálnená, pričom dopyt žiadateľov odzrkadľoval projekty regenerácie </w:t>
            </w:r>
            <w:proofErr w:type="spellStart"/>
            <w:r w:rsidRPr="00AF1D88">
              <w:rPr>
                <w:sz w:val="16"/>
                <w:szCs w:val="16"/>
              </w:rPr>
              <w:t>vnútroblokov</w:t>
            </w:r>
            <w:proofErr w:type="spellEnd"/>
            <w:r w:rsidRPr="00AF1D88">
              <w:rPr>
                <w:sz w:val="16"/>
                <w:szCs w:val="16"/>
              </w:rPr>
              <w:t xml:space="preserve"> sídlisk. Táto skutočnosť odzrkadlila proporčné navýšenie cieľovej hodnoty ukazovateľa O0256. </w:t>
            </w:r>
          </w:p>
          <w:p w14:paraId="7F025D8B" w14:textId="77777777" w:rsidR="00D86668" w:rsidRPr="00AF1D88" w:rsidRDefault="00D86668" w:rsidP="00C11675">
            <w:pPr>
              <w:jc w:val="both"/>
              <w:rPr>
                <w:sz w:val="16"/>
                <w:szCs w:val="16"/>
              </w:rPr>
            </w:pPr>
            <w:r w:rsidRPr="00AF1D88">
              <w:rPr>
                <w:sz w:val="16"/>
                <w:szCs w:val="16"/>
              </w:rPr>
              <w:t xml:space="preserve">Na cieľovú hodnotu ukazovateľa mala vplyv výška </w:t>
            </w:r>
            <w:r>
              <w:rPr>
                <w:sz w:val="16"/>
                <w:szCs w:val="16"/>
              </w:rPr>
              <w:t>1</w:t>
            </w:r>
            <w:r w:rsidRPr="00AF1D88">
              <w:rPr>
                <w:sz w:val="16"/>
                <w:szCs w:val="16"/>
              </w:rPr>
              <w:t xml:space="preserve">. </w:t>
            </w:r>
            <w:proofErr w:type="spellStart"/>
            <w:r w:rsidRPr="00AF1D88">
              <w:rPr>
                <w:sz w:val="16"/>
                <w:szCs w:val="16"/>
              </w:rPr>
              <w:t>tranže</w:t>
            </w:r>
            <w:proofErr w:type="spellEnd"/>
            <w:r w:rsidRPr="00AF1D88">
              <w:rPr>
                <w:sz w:val="16"/>
                <w:szCs w:val="16"/>
              </w:rPr>
              <w:t xml:space="preserve"> z alokácie REACT-EÚ.</w:t>
            </w:r>
          </w:p>
        </w:tc>
      </w:tr>
      <w:tr w:rsidR="00D86668" w:rsidRPr="00AF1D88" w14:paraId="3AE4847D"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4B021BE" w14:textId="77777777" w:rsidR="00D86668" w:rsidRPr="00AF1D88" w:rsidRDefault="00D86668" w:rsidP="00C11675">
            <w:pPr>
              <w:rPr>
                <w:bCs/>
                <w:sz w:val="16"/>
                <w:szCs w:val="16"/>
              </w:rPr>
            </w:pPr>
            <w:r w:rsidRPr="00AF1D88">
              <w:rPr>
                <w:bCs/>
                <w:sz w:val="16"/>
                <w:szCs w:val="16"/>
              </w:rPr>
              <w:t>C038</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40B685E" w14:textId="77777777" w:rsidR="00D86668" w:rsidRPr="00AF1D88" w:rsidRDefault="00D86668" w:rsidP="00C11675">
            <w:pPr>
              <w:rPr>
                <w:sz w:val="16"/>
                <w:szCs w:val="16"/>
              </w:rPr>
            </w:pPr>
            <w:r w:rsidRPr="00AF1D88">
              <w:rPr>
                <w:sz w:val="16"/>
                <w:szCs w:val="16"/>
              </w:rPr>
              <w:t xml:space="preserve">Vytvorené alebo obnovené otvorené priestranstvá </w:t>
            </w:r>
            <w:r w:rsidRPr="00AF1D88">
              <w:rPr>
                <w:sz w:val="16"/>
                <w:szCs w:val="16"/>
              </w:rPr>
              <w:lastRenderedPageBreak/>
              <w:t>v mestských oblastiach</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4AF98AB" w14:textId="77777777" w:rsidR="00D86668" w:rsidRPr="00AF1D88" w:rsidRDefault="00D86668" w:rsidP="00C11675">
            <w:pPr>
              <w:jc w:val="center"/>
              <w:rPr>
                <w:sz w:val="16"/>
                <w:szCs w:val="16"/>
              </w:rPr>
            </w:pPr>
            <w:r w:rsidRPr="00AF1D88">
              <w:rPr>
                <w:sz w:val="16"/>
                <w:szCs w:val="16"/>
              </w:rPr>
              <w:lastRenderedPageBreak/>
              <w:t>m</w:t>
            </w:r>
            <w:r w:rsidRPr="00AF1D88">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80ACA4" w14:textId="77777777" w:rsidR="00D86668" w:rsidRPr="00AF1D88" w:rsidRDefault="00D86668" w:rsidP="00C11675">
            <w:pPr>
              <w:jc w:val="center"/>
              <w:rPr>
                <w:sz w:val="16"/>
                <w:szCs w:val="16"/>
              </w:rPr>
            </w:pPr>
            <w:r w:rsidRPr="00AF1D88">
              <w:rPr>
                <w:sz w:val="16"/>
                <w:szCs w:val="16"/>
              </w:rPr>
              <w:t>EFRR</w:t>
            </w:r>
          </w:p>
        </w:tc>
        <w:tc>
          <w:tcPr>
            <w:tcW w:w="13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66BE539" w14:textId="77777777" w:rsidR="00D86668" w:rsidRPr="00AF1D88" w:rsidRDefault="00D86668" w:rsidP="00C11675">
            <w:pPr>
              <w:jc w:val="center"/>
              <w:rPr>
                <w:sz w:val="16"/>
                <w:szCs w:val="16"/>
              </w:rPr>
            </w:pPr>
            <w:r w:rsidRPr="00AF1D88">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44586CA" w14:textId="77777777" w:rsidR="00D86668" w:rsidRPr="00AF1D88" w:rsidRDefault="00D86668" w:rsidP="00C11675">
            <w:pPr>
              <w:jc w:val="center"/>
              <w:rPr>
                <w:sz w:val="16"/>
                <w:szCs w:val="16"/>
              </w:rPr>
            </w:pPr>
            <w:r w:rsidRPr="00AF1D88">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A50A702" w14:textId="77777777" w:rsidR="00D86668" w:rsidRPr="00AF1D88" w:rsidRDefault="00D86668" w:rsidP="00C11675">
            <w:pPr>
              <w:jc w:val="center"/>
              <w:rPr>
                <w:sz w:val="16"/>
                <w:szCs w:val="16"/>
              </w:rPr>
            </w:pPr>
            <w:r w:rsidRPr="00AF1D88">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323D757" w14:textId="77777777" w:rsidR="00D86668" w:rsidRPr="00AF1D88" w:rsidRDefault="00D86668" w:rsidP="00C11675">
            <w:pPr>
              <w:jc w:val="center"/>
              <w:rPr>
                <w:sz w:val="16"/>
                <w:szCs w:val="16"/>
              </w:rPr>
            </w:pPr>
            <w:r w:rsidRPr="005633F9">
              <w:rPr>
                <w:sz w:val="16"/>
                <w:szCs w:val="16"/>
              </w:rPr>
              <w:t>254 280</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108CF63" w14:textId="77777777" w:rsidR="00D86668" w:rsidRPr="00AF1D88" w:rsidRDefault="00D86668" w:rsidP="00C11675">
            <w:pPr>
              <w:jc w:val="center"/>
              <w:rPr>
                <w:sz w:val="16"/>
                <w:szCs w:val="16"/>
              </w:rPr>
            </w:pPr>
            <w:r w:rsidRPr="00AF1D88">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A08FE4E" w14:textId="77777777" w:rsidR="00D86668" w:rsidRPr="00AF1D88" w:rsidRDefault="00D86668" w:rsidP="00C11675">
            <w:pPr>
              <w:jc w:val="center"/>
              <w:rPr>
                <w:sz w:val="16"/>
                <w:szCs w:val="16"/>
              </w:rPr>
            </w:pPr>
            <w:r w:rsidRPr="00AF1D88">
              <w:rPr>
                <w:sz w:val="16"/>
                <w:szCs w:val="16"/>
              </w:rPr>
              <w:t>ročne</w:t>
            </w:r>
          </w:p>
        </w:tc>
        <w:tc>
          <w:tcPr>
            <w:tcW w:w="5387" w:type="dxa"/>
            <w:tcBorders>
              <w:top w:val="single" w:sz="8" w:space="0" w:color="4E67C8"/>
              <w:left w:val="single" w:sz="8" w:space="0" w:color="4E67C8"/>
              <w:bottom w:val="single" w:sz="8" w:space="0" w:color="4E67C8"/>
              <w:right w:val="single" w:sz="8" w:space="0" w:color="4E67C8"/>
            </w:tcBorders>
          </w:tcPr>
          <w:p w14:paraId="3610BB0C" w14:textId="77777777" w:rsidR="00D86668" w:rsidRPr="00AF1D88" w:rsidRDefault="00D86668" w:rsidP="00C11675">
            <w:pPr>
              <w:jc w:val="both"/>
              <w:rPr>
                <w:sz w:val="16"/>
                <w:szCs w:val="16"/>
              </w:rPr>
            </w:pPr>
            <w:r w:rsidRPr="00AF1D88">
              <w:rPr>
                <w:sz w:val="16"/>
                <w:szCs w:val="16"/>
              </w:rPr>
              <w:t>RO pre IROP vybral tento ukazovateľ z dôvodu, že ide o „</w:t>
            </w:r>
            <w:proofErr w:type="spellStart"/>
            <w:r w:rsidRPr="00AF1D88">
              <w:rPr>
                <w:sz w:val="16"/>
                <w:szCs w:val="16"/>
              </w:rPr>
              <w:t>common</w:t>
            </w:r>
            <w:proofErr w:type="spellEnd"/>
            <w:r w:rsidRPr="00AF1D88">
              <w:rPr>
                <w:sz w:val="16"/>
                <w:szCs w:val="16"/>
              </w:rPr>
              <w:t xml:space="preserve">“ ukazovateľ EK, je relevantný pre danú oblasť podpory. Cieľová hodnota ukazovateľa bola stanovená na základe investičnej náročnosti už </w:t>
            </w:r>
            <w:r w:rsidRPr="00AF1D88">
              <w:rPr>
                <w:sz w:val="16"/>
                <w:szCs w:val="16"/>
              </w:rPr>
              <w:lastRenderedPageBreak/>
              <w:t>zrealizovaných projektov v </w:t>
            </w:r>
            <w:r w:rsidRPr="000D7103">
              <w:rPr>
                <w:sz w:val="16"/>
                <w:szCs w:val="16"/>
              </w:rPr>
              <w:t>rámci špecifického cieľa 4.3.1 (26 Eur/m2). Pri stanovení cieľovej hodnoty ukazovateľa vychádzal RO pre IROP z predpokladaného dopytu zo strany žiadateľov, a to na základe získaných podkladov SO pre IROP. Na  základe aktuálneho</w:t>
            </w:r>
            <w:r w:rsidRPr="00AF1D88">
              <w:rPr>
                <w:sz w:val="16"/>
                <w:szCs w:val="16"/>
              </w:rPr>
              <w:t xml:space="preserve"> dopytu žiadateľov v rámci výzvy na predkladanie </w:t>
            </w:r>
            <w:proofErr w:type="spellStart"/>
            <w:r w:rsidRPr="00AF1D88">
              <w:rPr>
                <w:sz w:val="16"/>
                <w:szCs w:val="16"/>
              </w:rPr>
              <w:t>ŽoNFP</w:t>
            </w:r>
            <w:proofErr w:type="spellEnd"/>
            <w:r w:rsidRPr="00AF1D88">
              <w:rPr>
                <w:sz w:val="16"/>
                <w:szCs w:val="16"/>
              </w:rPr>
              <w:t xml:space="preserve"> na podporu zelenej infraštruktúry IROP-PO4-SC431-2020-65 na jednotlivé typy aktivít bola hodnota ukazovateľa zreálnená, pričom dopyt žiadateľov odzrkadľoval projekty regenerácie </w:t>
            </w:r>
            <w:proofErr w:type="spellStart"/>
            <w:r w:rsidRPr="00AF1D88">
              <w:rPr>
                <w:sz w:val="16"/>
                <w:szCs w:val="16"/>
              </w:rPr>
              <w:t>vnútroblokov</w:t>
            </w:r>
            <w:proofErr w:type="spellEnd"/>
            <w:r w:rsidRPr="00AF1D88">
              <w:rPr>
                <w:sz w:val="16"/>
                <w:szCs w:val="16"/>
              </w:rPr>
              <w:t xml:space="preserve"> sídlisk. Táto skutočnosť odzrkadlila proporčné navýšenie cieľovej hodnoty ukazovateľa O0256. Na cieľovú hodnotu ukazovateľa mala vplyv výška </w:t>
            </w:r>
            <w:r>
              <w:rPr>
                <w:sz w:val="16"/>
                <w:szCs w:val="16"/>
              </w:rPr>
              <w:t>1</w:t>
            </w:r>
            <w:r w:rsidRPr="00AF1D88">
              <w:rPr>
                <w:sz w:val="16"/>
                <w:szCs w:val="16"/>
              </w:rPr>
              <w:t xml:space="preserve">. </w:t>
            </w:r>
            <w:proofErr w:type="spellStart"/>
            <w:r w:rsidRPr="00AF1D88">
              <w:rPr>
                <w:sz w:val="16"/>
                <w:szCs w:val="16"/>
              </w:rPr>
              <w:t>tranže</w:t>
            </w:r>
            <w:proofErr w:type="spellEnd"/>
            <w:r w:rsidRPr="00AF1D88">
              <w:rPr>
                <w:sz w:val="16"/>
                <w:szCs w:val="16"/>
              </w:rPr>
              <w:t xml:space="preserve"> z alokácie REACT-EÚ. </w:t>
            </w:r>
          </w:p>
        </w:tc>
      </w:tr>
      <w:tr w:rsidR="00D86668" w:rsidRPr="008975D9" w14:paraId="321F8065"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BBB9409" w14:textId="77777777" w:rsidR="00D86668" w:rsidRPr="008975D9" w:rsidRDefault="00D86668" w:rsidP="00C11675">
            <w:pPr>
              <w:rPr>
                <w:bCs/>
                <w:sz w:val="16"/>
                <w:szCs w:val="16"/>
              </w:rPr>
            </w:pPr>
            <w:r w:rsidRPr="008975D9">
              <w:rPr>
                <w:bCs/>
                <w:sz w:val="16"/>
                <w:szCs w:val="16"/>
              </w:rPr>
              <w:lastRenderedPageBreak/>
              <w:t>O0256</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62B1B4D" w14:textId="77777777" w:rsidR="00D86668" w:rsidRPr="008975D9" w:rsidRDefault="00D86668" w:rsidP="00C11675">
            <w:pPr>
              <w:rPr>
                <w:sz w:val="16"/>
                <w:szCs w:val="16"/>
              </w:rPr>
            </w:pPr>
            <w:r w:rsidRPr="008975D9">
              <w:rPr>
                <w:sz w:val="16"/>
                <w:szCs w:val="16"/>
              </w:rPr>
              <w:t xml:space="preserve">Revitalizované otvorené priestranstvá </w:t>
            </w:r>
            <w:proofErr w:type="spellStart"/>
            <w:r w:rsidRPr="008975D9">
              <w:rPr>
                <w:sz w:val="16"/>
                <w:szCs w:val="16"/>
              </w:rPr>
              <w:t>vnútroblokov</w:t>
            </w:r>
            <w:proofErr w:type="spellEnd"/>
            <w:r w:rsidRPr="008975D9">
              <w:rPr>
                <w:sz w:val="16"/>
                <w:szCs w:val="16"/>
              </w:rPr>
              <w:t xml:space="preserve"> mimo UMR</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C32088" w14:textId="77777777" w:rsidR="00D86668" w:rsidRPr="008975D9" w:rsidRDefault="00D86668" w:rsidP="00C11675">
            <w:pPr>
              <w:jc w:val="center"/>
              <w:rPr>
                <w:sz w:val="16"/>
                <w:szCs w:val="16"/>
              </w:rPr>
            </w:pPr>
            <w:r w:rsidRPr="008975D9">
              <w:rPr>
                <w:sz w:val="16"/>
                <w:szCs w:val="16"/>
              </w:rPr>
              <w:t>m</w:t>
            </w:r>
            <w:r w:rsidRPr="008975D9">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EC3C6CA" w14:textId="77777777" w:rsidR="00D86668" w:rsidRPr="008975D9" w:rsidRDefault="00D86668" w:rsidP="00C11675">
            <w:pPr>
              <w:jc w:val="center"/>
              <w:rPr>
                <w:sz w:val="16"/>
                <w:szCs w:val="16"/>
              </w:rPr>
            </w:pPr>
            <w:r w:rsidRPr="008975D9">
              <w:rPr>
                <w:sz w:val="16"/>
                <w:szCs w:val="16"/>
              </w:rPr>
              <w:t>EFRR</w:t>
            </w:r>
          </w:p>
        </w:tc>
        <w:tc>
          <w:tcPr>
            <w:tcW w:w="13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7AE14DD"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C634844"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D81459"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791644A" w14:textId="77777777" w:rsidR="00D86668" w:rsidRPr="008975D9" w:rsidRDefault="00D86668" w:rsidP="00C11675">
            <w:pPr>
              <w:jc w:val="center"/>
              <w:rPr>
                <w:sz w:val="16"/>
                <w:szCs w:val="16"/>
              </w:rPr>
            </w:pPr>
            <w:r w:rsidRPr="00D61448">
              <w:rPr>
                <w:sz w:val="16"/>
                <w:szCs w:val="16"/>
              </w:rPr>
              <w:t>203 555</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FC12914"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0518E9B" w14:textId="77777777" w:rsidR="00D86668" w:rsidRPr="008975D9" w:rsidRDefault="00D86668" w:rsidP="00C11675">
            <w:pPr>
              <w:jc w:val="center"/>
              <w:rPr>
                <w:sz w:val="16"/>
                <w:szCs w:val="16"/>
              </w:rPr>
            </w:pPr>
            <w:r w:rsidRPr="008975D9">
              <w:rPr>
                <w:sz w:val="16"/>
                <w:szCs w:val="16"/>
              </w:rPr>
              <w:t>ročne</w:t>
            </w:r>
          </w:p>
        </w:tc>
        <w:tc>
          <w:tcPr>
            <w:tcW w:w="5387" w:type="dxa"/>
            <w:tcBorders>
              <w:top w:val="single" w:sz="8" w:space="0" w:color="4E67C8"/>
              <w:left w:val="single" w:sz="8" w:space="0" w:color="4E67C8"/>
              <w:bottom w:val="single" w:sz="8" w:space="0" w:color="4E67C8"/>
              <w:right w:val="single" w:sz="8" w:space="0" w:color="4E67C8"/>
            </w:tcBorders>
          </w:tcPr>
          <w:p w14:paraId="53D87579" w14:textId="77777777" w:rsidR="00D86668" w:rsidRPr="008975D9" w:rsidRDefault="00D86668" w:rsidP="00C11675">
            <w:pPr>
              <w:jc w:val="both"/>
              <w:rPr>
                <w:sz w:val="16"/>
                <w:szCs w:val="16"/>
              </w:rPr>
            </w:pPr>
            <w:r w:rsidRPr="008975D9">
              <w:rPr>
                <w:sz w:val="16"/>
                <w:szCs w:val="16"/>
              </w:rPr>
              <w:t xml:space="preserve">Jedná sa o výstupový ukazovateľ priamo naviazaný na aktivitu j. regenerácia </w:t>
            </w:r>
            <w:proofErr w:type="spellStart"/>
            <w:r w:rsidRPr="008975D9">
              <w:rPr>
                <w:sz w:val="16"/>
                <w:szCs w:val="16"/>
              </w:rPr>
              <w:t>vnútroblokov</w:t>
            </w:r>
            <w:proofErr w:type="spellEnd"/>
            <w:r w:rsidRPr="008975D9">
              <w:rPr>
                <w:sz w:val="16"/>
                <w:szCs w:val="16"/>
              </w:rPr>
              <w:t xml:space="preserve"> sídlisk mimo UMR. Cieľová hodnota ukazovateľa bola stanovená na základe investičnej </w:t>
            </w:r>
            <w:r w:rsidRPr="00D20D82">
              <w:rPr>
                <w:sz w:val="16"/>
                <w:szCs w:val="16"/>
              </w:rPr>
              <w:t xml:space="preserve">náročnosti už zrealizovaných projektov v rámci špecifického cieľa 4.3.1. (32,6 Eur/m2). Pri stanovení cieľovej hodnoty ukazovateľa vychádzal RO pre IROP z predpokladaného dopytu zo strany žiadateľov, a to na základe získaných podkladov SO pre IROP. Na základe aktuálneho dopytu žiadateľov v rámci výzvy na predkladanie </w:t>
            </w:r>
            <w:proofErr w:type="spellStart"/>
            <w:r w:rsidRPr="00D20D82">
              <w:rPr>
                <w:sz w:val="16"/>
                <w:szCs w:val="16"/>
              </w:rPr>
              <w:t>ŽoNFP</w:t>
            </w:r>
            <w:proofErr w:type="spellEnd"/>
            <w:r w:rsidRPr="00D20D82">
              <w:rPr>
                <w:sz w:val="16"/>
                <w:szCs w:val="16"/>
              </w:rPr>
              <w:t xml:space="preserve"> na podporu zelenej infraštruktúry IROP-PO4-SC431-2020-65 na </w:t>
            </w:r>
            <w:r w:rsidRPr="005818C2">
              <w:rPr>
                <w:sz w:val="16"/>
                <w:szCs w:val="16"/>
              </w:rPr>
              <w:t xml:space="preserve">jednotlivé typy aktivít bola hodnota ukazovateľa zreálnená, pričom dopyt žiadateľov odzrkadľoval projekty realizované v rámci UMR (MU O0155 a C038). Na cieľovú hodnotu ukazovateľa mala vplyv výška </w:t>
            </w:r>
            <w:r>
              <w:rPr>
                <w:sz w:val="16"/>
                <w:szCs w:val="16"/>
              </w:rPr>
              <w:t>1</w:t>
            </w:r>
            <w:r w:rsidRPr="005818C2">
              <w:rPr>
                <w:sz w:val="16"/>
                <w:szCs w:val="16"/>
              </w:rPr>
              <w:t xml:space="preserve">. </w:t>
            </w:r>
            <w:proofErr w:type="spellStart"/>
            <w:r w:rsidRPr="005818C2">
              <w:rPr>
                <w:sz w:val="16"/>
                <w:szCs w:val="16"/>
              </w:rPr>
              <w:t>tranže</w:t>
            </w:r>
            <w:proofErr w:type="spellEnd"/>
            <w:r w:rsidRPr="005818C2">
              <w:rPr>
                <w:sz w:val="16"/>
                <w:szCs w:val="16"/>
              </w:rPr>
              <w:t xml:space="preserve"> z alokácie REACT-EÚ.</w:t>
            </w:r>
          </w:p>
        </w:tc>
      </w:tr>
    </w:tbl>
    <w:p w14:paraId="7D8D77F5" w14:textId="77777777" w:rsidR="00D86668" w:rsidRDefault="00D86668" w:rsidP="00D86668">
      <w:pPr>
        <w:rPr>
          <w:sz w:val="16"/>
          <w:szCs w:val="16"/>
        </w:rPr>
      </w:pPr>
    </w:p>
    <w:p w14:paraId="373FE6F8" w14:textId="77777777" w:rsidR="00D86668" w:rsidRPr="008975D9" w:rsidRDefault="00D86668" w:rsidP="00D86668">
      <w:pPr>
        <w:rPr>
          <w:sz w:val="16"/>
          <w:szCs w:val="16"/>
        </w:rPr>
      </w:pPr>
    </w:p>
    <w:p w14:paraId="298C8067" w14:textId="77777777" w:rsidR="00D86668" w:rsidRPr="008975D9" w:rsidRDefault="00D86668" w:rsidP="00D86668">
      <w:pPr>
        <w:pStyle w:val="Odsekzoznamu"/>
        <w:spacing w:before="120" w:after="0" w:line="240" w:lineRule="auto"/>
        <w:ind w:left="0"/>
        <w:jc w:val="both"/>
        <w:rPr>
          <w:rFonts w:ascii="Arial" w:hAnsi="Arial" w:cs="Arial"/>
          <w:b/>
          <w:iCs/>
          <w:sz w:val="16"/>
          <w:szCs w:val="16"/>
        </w:rPr>
      </w:pPr>
      <w:r w:rsidRPr="008975D9">
        <w:rPr>
          <w:rFonts w:ascii="Arial" w:hAnsi="Arial" w:cs="Arial"/>
          <w:b/>
          <w:i/>
          <w:sz w:val="16"/>
          <w:szCs w:val="16"/>
        </w:rPr>
        <w:t xml:space="preserve">Špecifický cieľ č. 7.4: </w:t>
      </w:r>
      <w:r w:rsidRPr="008975D9">
        <w:rPr>
          <w:rFonts w:ascii="Arial" w:hAnsi="Arial" w:cs="Arial"/>
          <w:b/>
          <w:iCs/>
          <w:sz w:val="16"/>
          <w:szCs w:val="16"/>
        </w:rPr>
        <w:t>Zvýšenie kapacít základných škôl v Bratislavskom kraji</w:t>
      </w:r>
    </w:p>
    <w:p w14:paraId="0E26ADC3" w14:textId="77777777" w:rsidR="00D86668" w:rsidRPr="008975D9" w:rsidRDefault="00D86668" w:rsidP="00D86668">
      <w:pPr>
        <w:rPr>
          <w:rStyle w:val="Zvraznenie"/>
          <w:sz w:val="16"/>
          <w:szCs w:val="16"/>
        </w:rPr>
      </w:pPr>
    </w:p>
    <w:p w14:paraId="7CE4CA1C" w14:textId="77777777" w:rsidR="00D86668" w:rsidRPr="008975D9" w:rsidRDefault="00D86668" w:rsidP="00D86668">
      <w:pPr>
        <w:rPr>
          <w:rStyle w:val="Zvraznenie"/>
          <w:sz w:val="16"/>
          <w:szCs w:val="16"/>
        </w:rPr>
      </w:pPr>
      <w:r w:rsidRPr="008975D9">
        <w:rPr>
          <w:rStyle w:val="Zvraznenie"/>
          <w:sz w:val="16"/>
          <w:szCs w:val="16"/>
        </w:rPr>
        <w:t>Výsledkový ukazovateľ pre špecifický cieľ č. 7.4.</w:t>
      </w:r>
    </w:p>
    <w:p w14:paraId="702A7DD1" w14:textId="77777777" w:rsidR="00D86668" w:rsidRPr="008975D9" w:rsidRDefault="00D86668" w:rsidP="00D86668">
      <w:pPr>
        <w:rPr>
          <w:rStyle w:val="Zvraznenie"/>
          <w:sz w:val="16"/>
          <w:szCs w:val="16"/>
        </w:rPr>
      </w:pPr>
    </w:p>
    <w:tbl>
      <w:tblPr>
        <w:tblW w:w="1473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699"/>
        <w:gridCol w:w="1276"/>
        <w:gridCol w:w="992"/>
        <w:gridCol w:w="992"/>
        <w:gridCol w:w="1134"/>
        <w:gridCol w:w="1102"/>
        <w:gridCol w:w="988"/>
        <w:gridCol w:w="1052"/>
        <w:gridCol w:w="1053"/>
        <w:gridCol w:w="5444"/>
      </w:tblGrid>
      <w:tr w:rsidR="00D86668" w:rsidRPr="008975D9" w14:paraId="61DE0737" w14:textId="77777777" w:rsidTr="00C11675">
        <w:tc>
          <w:tcPr>
            <w:tcW w:w="699"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2929BFA0" w14:textId="77777777" w:rsidR="00D86668" w:rsidRPr="008975D9" w:rsidRDefault="00D86668" w:rsidP="00C11675">
            <w:pPr>
              <w:jc w:val="center"/>
              <w:rPr>
                <w:b/>
                <w:bCs/>
                <w:sz w:val="16"/>
                <w:szCs w:val="16"/>
              </w:rPr>
            </w:pPr>
            <w:r w:rsidRPr="008975D9">
              <w:rPr>
                <w:b/>
                <w:bCs/>
                <w:sz w:val="16"/>
                <w:szCs w:val="16"/>
              </w:rPr>
              <w:t>ID</w:t>
            </w:r>
          </w:p>
        </w:tc>
        <w:tc>
          <w:tcPr>
            <w:tcW w:w="1276"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1A92AFA" w14:textId="77777777" w:rsidR="00D86668" w:rsidRPr="008975D9" w:rsidRDefault="00D86668" w:rsidP="00C11675">
            <w:pPr>
              <w:jc w:val="center"/>
              <w:rPr>
                <w:b/>
                <w:bCs/>
                <w:sz w:val="16"/>
                <w:szCs w:val="16"/>
              </w:rPr>
            </w:pPr>
            <w:r w:rsidRPr="008975D9">
              <w:rPr>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1E28819" w14:textId="77777777" w:rsidR="00D86668" w:rsidRPr="008975D9" w:rsidRDefault="00D86668" w:rsidP="00C11675">
            <w:pPr>
              <w:jc w:val="center"/>
              <w:rPr>
                <w:b/>
                <w:bCs/>
                <w:sz w:val="16"/>
                <w:szCs w:val="16"/>
              </w:rPr>
            </w:pPr>
            <w:r w:rsidRPr="008975D9">
              <w:rPr>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3A8BE14D" w14:textId="77777777" w:rsidR="00D86668" w:rsidRPr="008975D9" w:rsidRDefault="00D86668" w:rsidP="00C11675">
            <w:pPr>
              <w:jc w:val="center"/>
              <w:rPr>
                <w:b/>
                <w:bCs/>
                <w:sz w:val="16"/>
                <w:szCs w:val="16"/>
              </w:rPr>
            </w:pPr>
            <w:r w:rsidRPr="008975D9">
              <w:rPr>
                <w:b/>
                <w:bCs/>
                <w:sz w:val="16"/>
                <w:szCs w:val="16"/>
              </w:rPr>
              <w:t>Kategória regiónu</w:t>
            </w:r>
          </w:p>
        </w:tc>
        <w:tc>
          <w:tcPr>
            <w:tcW w:w="1134"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234F25FC" w14:textId="77777777" w:rsidR="00D86668" w:rsidRPr="008975D9" w:rsidRDefault="00D86668" w:rsidP="00C11675">
            <w:pPr>
              <w:jc w:val="center"/>
              <w:rPr>
                <w:b/>
                <w:bCs/>
                <w:sz w:val="16"/>
                <w:szCs w:val="16"/>
              </w:rPr>
            </w:pPr>
            <w:r w:rsidRPr="008975D9">
              <w:rPr>
                <w:b/>
                <w:bCs/>
                <w:sz w:val="16"/>
                <w:szCs w:val="16"/>
              </w:rPr>
              <w:t>Východisková hodnota</w:t>
            </w:r>
          </w:p>
        </w:tc>
        <w:tc>
          <w:tcPr>
            <w:tcW w:w="110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2E70F450" w14:textId="77777777" w:rsidR="00D86668" w:rsidRPr="008975D9" w:rsidRDefault="00D86668" w:rsidP="00C11675">
            <w:pPr>
              <w:jc w:val="center"/>
              <w:rPr>
                <w:b/>
                <w:bCs/>
                <w:sz w:val="16"/>
                <w:szCs w:val="16"/>
              </w:rPr>
            </w:pPr>
            <w:r w:rsidRPr="008975D9">
              <w:rPr>
                <w:b/>
                <w:bCs/>
                <w:sz w:val="16"/>
                <w:szCs w:val="16"/>
              </w:rPr>
              <w:t>Východiskový rok</w:t>
            </w:r>
          </w:p>
        </w:tc>
        <w:tc>
          <w:tcPr>
            <w:tcW w:w="988"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3E596AA4" w14:textId="77777777" w:rsidR="00D86668" w:rsidRPr="008975D9" w:rsidRDefault="00D86668" w:rsidP="00C11675">
            <w:pPr>
              <w:jc w:val="center"/>
              <w:rPr>
                <w:b/>
                <w:bCs/>
                <w:sz w:val="16"/>
                <w:szCs w:val="16"/>
              </w:rPr>
            </w:pPr>
            <w:r w:rsidRPr="008975D9">
              <w:rPr>
                <w:b/>
                <w:bCs/>
                <w:sz w:val="16"/>
                <w:szCs w:val="16"/>
              </w:rPr>
              <w:t>Cieľová hodnota (2023)</w:t>
            </w:r>
          </w:p>
        </w:tc>
        <w:tc>
          <w:tcPr>
            <w:tcW w:w="105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75CFDA8" w14:textId="77777777" w:rsidR="00D86668" w:rsidRPr="008975D9" w:rsidRDefault="00D86668" w:rsidP="00C11675">
            <w:pPr>
              <w:jc w:val="center"/>
              <w:rPr>
                <w:b/>
                <w:bCs/>
                <w:sz w:val="16"/>
                <w:szCs w:val="16"/>
              </w:rPr>
            </w:pPr>
            <w:r w:rsidRPr="008975D9">
              <w:rPr>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57BD4F9" w14:textId="77777777" w:rsidR="00D86668" w:rsidRPr="008975D9" w:rsidRDefault="00D86668" w:rsidP="00C11675">
            <w:pPr>
              <w:jc w:val="center"/>
              <w:rPr>
                <w:b/>
                <w:bCs/>
                <w:sz w:val="16"/>
                <w:szCs w:val="16"/>
              </w:rPr>
            </w:pPr>
            <w:r w:rsidRPr="008975D9">
              <w:rPr>
                <w:b/>
                <w:bCs/>
                <w:sz w:val="16"/>
                <w:szCs w:val="16"/>
              </w:rPr>
              <w:t>Frekvencia sledovania</w:t>
            </w:r>
          </w:p>
        </w:tc>
        <w:tc>
          <w:tcPr>
            <w:tcW w:w="5444" w:type="dxa"/>
            <w:tcBorders>
              <w:top w:val="single" w:sz="8" w:space="0" w:color="4E67C8"/>
              <w:left w:val="single" w:sz="8" w:space="0" w:color="4E67C8"/>
              <w:bottom w:val="single" w:sz="18" w:space="0" w:color="4E67C8"/>
              <w:right w:val="single" w:sz="8" w:space="0" w:color="4E67C8"/>
            </w:tcBorders>
          </w:tcPr>
          <w:p w14:paraId="4AA61E1C"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131372CC"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C7AA2A" w14:textId="77777777" w:rsidR="00D86668" w:rsidRPr="008975D9" w:rsidRDefault="00D86668" w:rsidP="00C11675">
            <w:pPr>
              <w:jc w:val="center"/>
              <w:rPr>
                <w:bCs/>
                <w:sz w:val="16"/>
                <w:szCs w:val="16"/>
              </w:rPr>
            </w:pPr>
            <w:r w:rsidRPr="0043723D">
              <w:rPr>
                <w:bCs/>
                <w:sz w:val="16"/>
                <w:szCs w:val="16"/>
              </w:rPr>
              <w:t>R0211</w:t>
            </w:r>
          </w:p>
        </w:tc>
        <w:tc>
          <w:tcPr>
            <w:tcW w:w="127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FD7D74A" w14:textId="77777777" w:rsidR="00D86668" w:rsidRPr="008975D9" w:rsidRDefault="00D86668" w:rsidP="00C11675">
            <w:pPr>
              <w:rPr>
                <w:sz w:val="16"/>
                <w:szCs w:val="16"/>
              </w:rPr>
            </w:pPr>
            <w:r w:rsidRPr="008975D9">
              <w:rPr>
                <w:sz w:val="16"/>
                <w:szCs w:val="16"/>
              </w:rPr>
              <w:t>Počet podporených základných škôl</w:t>
            </w:r>
            <w:r>
              <w:rPr>
                <w:sz w:val="16"/>
                <w:szCs w:val="16"/>
              </w:rPr>
              <w:t xml:space="preserve"> v BSK</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66AF70A" w14:textId="77777777" w:rsidR="00D86668" w:rsidRPr="008975D9" w:rsidRDefault="00D86668" w:rsidP="00C11675">
            <w:pPr>
              <w:rPr>
                <w:sz w:val="16"/>
                <w:szCs w:val="16"/>
              </w:rPr>
            </w:pPr>
            <w:r w:rsidRPr="008975D9">
              <w:rPr>
                <w:sz w:val="16"/>
                <w:szCs w:val="16"/>
              </w:rPr>
              <w:t>počet</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0942D93" w14:textId="77777777" w:rsidR="00D86668" w:rsidRPr="008975D9" w:rsidRDefault="00D86668" w:rsidP="00C11675">
            <w:pPr>
              <w:rPr>
                <w:sz w:val="16"/>
                <w:szCs w:val="16"/>
              </w:rPr>
            </w:pPr>
            <w:r w:rsidRPr="008975D9">
              <w:rPr>
                <w:sz w:val="16"/>
                <w:szCs w:val="16"/>
              </w:rPr>
              <w:t>Viac rozvinutý región</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FA52C4E" w14:textId="77777777" w:rsidR="00D86668" w:rsidRPr="008975D9" w:rsidRDefault="00D86668" w:rsidP="00C11675">
            <w:pPr>
              <w:jc w:val="center"/>
              <w:rPr>
                <w:sz w:val="16"/>
                <w:szCs w:val="16"/>
              </w:rPr>
            </w:pPr>
            <w:r w:rsidRPr="008975D9">
              <w:rPr>
                <w:sz w:val="16"/>
                <w:szCs w:val="16"/>
              </w:rPr>
              <w:t>0</w:t>
            </w:r>
          </w:p>
        </w:tc>
        <w:tc>
          <w:tcPr>
            <w:tcW w:w="110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A18640" w14:textId="77777777" w:rsidR="00D86668" w:rsidRPr="008975D9" w:rsidRDefault="00D86668" w:rsidP="00C11675">
            <w:pPr>
              <w:jc w:val="center"/>
              <w:rPr>
                <w:sz w:val="16"/>
                <w:szCs w:val="16"/>
              </w:rPr>
            </w:pPr>
            <w:r w:rsidRPr="008975D9">
              <w:rPr>
                <w:sz w:val="16"/>
                <w:szCs w:val="16"/>
              </w:rPr>
              <w:t>2021</w:t>
            </w:r>
          </w:p>
        </w:tc>
        <w:tc>
          <w:tcPr>
            <w:tcW w:w="988" w:type="dxa"/>
            <w:tcBorders>
              <w:top w:val="single" w:sz="8" w:space="0" w:color="4E67C8"/>
              <w:left w:val="single" w:sz="8" w:space="0" w:color="4E67C8"/>
              <w:right w:val="single" w:sz="8" w:space="0" w:color="4E67C8"/>
            </w:tcBorders>
            <w:shd w:val="clear" w:color="auto" w:fill="auto"/>
            <w:vAlign w:val="center"/>
          </w:tcPr>
          <w:p w14:paraId="55A81DE4" w14:textId="77777777" w:rsidR="00D86668" w:rsidRPr="008975D9" w:rsidRDefault="00D86668" w:rsidP="00C11675">
            <w:pPr>
              <w:jc w:val="center"/>
              <w:rPr>
                <w:sz w:val="16"/>
                <w:szCs w:val="16"/>
              </w:rPr>
            </w:pPr>
            <w:r>
              <w:rPr>
                <w:sz w:val="16"/>
                <w:szCs w:val="16"/>
              </w:rPr>
              <w:t>26</w:t>
            </w:r>
          </w:p>
        </w:tc>
        <w:tc>
          <w:tcPr>
            <w:tcW w:w="1052" w:type="dxa"/>
            <w:tcBorders>
              <w:top w:val="single" w:sz="8" w:space="0" w:color="4E67C8"/>
              <w:left w:val="single" w:sz="8" w:space="0" w:color="4E67C8"/>
              <w:right w:val="single" w:sz="8" w:space="0" w:color="4E67C8"/>
            </w:tcBorders>
            <w:shd w:val="clear" w:color="auto" w:fill="auto"/>
            <w:vAlign w:val="center"/>
          </w:tcPr>
          <w:p w14:paraId="2D8F8919" w14:textId="77777777" w:rsidR="00D86668" w:rsidRPr="008975D9" w:rsidRDefault="00D86668" w:rsidP="00C11675">
            <w:pPr>
              <w:jc w:val="center"/>
              <w:rPr>
                <w:sz w:val="16"/>
                <w:szCs w:val="16"/>
              </w:rPr>
            </w:pPr>
            <w:r w:rsidRPr="008975D9">
              <w:rPr>
                <w:sz w:val="16"/>
                <w:szCs w:val="16"/>
              </w:rPr>
              <w:t>ITMS</w:t>
            </w:r>
          </w:p>
        </w:tc>
        <w:tc>
          <w:tcPr>
            <w:tcW w:w="1053"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68B52AE" w14:textId="77777777" w:rsidR="00D86668" w:rsidRPr="008975D9" w:rsidRDefault="00D86668" w:rsidP="00C11675">
            <w:pPr>
              <w:jc w:val="center"/>
              <w:rPr>
                <w:sz w:val="16"/>
                <w:szCs w:val="16"/>
              </w:rPr>
            </w:pPr>
            <w:r w:rsidRPr="008975D9">
              <w:rPr>
                <w:sz w:val="16"/>
                <w:szCs w:val="16"/>
              </w:rPr>
              <w:t>ročne</w:t>
            </w:r>
          </w:p>
        </w:tc>
        <w:tc>
          <w:tcPr>
            <w:tcW w:w="5444" w:type="dxa"/>
            <w:tcBorders>
              <w:top w:val="single" w:sz="8" w:space="0" w:color="4E67C8"/>
              <w:left w:val="single" w:sz="8" w:space="0" w:color="4E67C8"/>
              <w:bottom w:val="single" w:sz="8" w:space="0" w:color="4E67C8"/>
              <w:right w:val="single" w:sz="8" w:space="0" w:color="4E67C8"/>
            </w:tcBorders>
          </w:tcPr>
          <w:p w14:paraId="59EFCBCE" w14:textId="77777777" w:rsidR="00D86668" w:rsidRPr="008975D9" w:rsidRDefault="00D86668" w:rsidP="00C11675">
            <w:pPr>
              <w:jc w:val="both"/>
              <w:rPr>
                <w:sz w:val="16"/>
                <w:szCs w:val="16"/>
              </w:rPr>
            </w:pPr>
            <w:r w:rsidRPr="008975D9">
              <w:rPr>
                <w:sz w:val="16"/>
                <w:szCs w:val="16"/>
              </w:rPr>
              <w:t xml:space="preserve">Počet základných škôl bol vytypovaný VÚC Bratislavským krajom v spolupráci so zriaďovateľmi na základe existujúcej potreby rozširovania kapacít. Vo výbere sú identifikované </w:t>
            </w:r>
            <w:r w:rsidRPr="00D20D82">
              <w:rPr>
                <w:sz w:val="16"/>
                <w:szCs w:val="16"/>
              </w:rPr>
              <w:t>najviac ohrozené školy dvojzmennou prevádzkou. Zároveň bol zohľadnený dopyt a pripravenosť</w:t>
            </w:r>
            <w:r w:rsidRPr="008D29AF">
              <w:rPr>
                <w:sz w:val="16"/>
                <w:szCs w:val="16"/>
              </w:rPr>
              <w:t xml:space="preserve"> </w:t>
            </w:r>
            <w:r w:rsidRPr="008975D9">
              <w:rPr>
                <w:sz w:val="16"/>
                <w:szCs w:val="16"/>
              </w:rPr>
              <w:t>projektov vrátane stavebného povolenia.</w:t>
            </w:r>
          </w:p>
          <w:p w14:paraId="5F6A7B92" w14:textId="77777777" w:rsidR="00D86668" w:rsidRPr="008975D9" w:rsidRDefault="00D86668" w:rsidP="00C11675">
            <w:pPr>
              <w:rPr>
                <w:sz w:val="16"/>
                <w:szCs w:val="16"/>
              </w:rPr>
            </w:pPr>
            <w:r w:rsidRPr="008975D9">
              <w:rPr>
                <w:sz w:val="16"/>
                <w:szCs w:val="16"/>
              </w:rPr>
              <w:t>Pri definovaní cieľovej hodnoty RO pre IROP zohľadni</w:t>
            </w:r>
            <w:r>
              <w:rPr>
                <w:sz w:val="16"/>
                <w:szCs w:val="16"/>
              </w:rPr>
              <w:t>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bl>
    <w:p w14:paraId="6C27BF05" w14:textId="77777777" w:rsidR="00D86668" w:rsidRPr="008975D9" w:rsidRDefault="00D86668" w:rsidP="00D86668">
      <w:pPr>
        <w:rPr>
          <w:b/>
          <w:sz w:val="16"/>
          <w:szCs w:val="16"/>
        </w:rPr>
      </w:pPr>
    </w:p>
    <w:p w14:paraId="2CDCE564" w14:textId="77777777" w:rsidR="00D86668" w:rsidRPr="008975D9" w:rsidRDefault="00D86668" w:rsidP="00D86668">
      <w:pPr>
        <w:pStyle w:val="Odsekzoznamu"/>
        <w:spacing w:before="120" w:after="0" w:line="240" w:lineRule="auto"/>
        <w:ind w:left="0"/>
        <w:jc w:val="both"/>
        <w:rPr>
          <w:rStyle w:val="Zvraznenie"/>
          <w:rFonts w:ascii="Arial" w:hAnsi="Arial" w:cs="Arial"/>
          <w:sz w:val="16"/>
          <w:szCs w:val="16"/>
        </w:rPr>
      </w:pPr>
      <w:r w:rsidRPr="008975D9">
        <w:rPr>
          <w:rStyle w:val="Zvraznenie"/>
          <w:rFonts w:ascii="Arial" w:hAnsi="Arial" w:cs="Arial"/>
          <w:sz w:val="16"/>
          <w:szCs w:val="16"/>
        </w:rPr>
        <w:t>Výstupové ukazovatele pre špecifický cieľ č. 7.4. a 7.5.</w:t>
      </w:r>
    </w:p>
    <w:p w14:paraId="3158EA19" w14:textId="77777777" w:rsidR="00D86668" w:rsidRPr="008975D9" w:rsidRDefault="00D86668" w:rsidP="00D86668">
      <w:pPr>
        <w:rPr>
          <w:sz w:val="16"/>
          <w:szCs w:val="16"/>
        </w:rPr>
      </w:pPr>
    </w:p>
    <w:tbl>
      <w:tblPr>
        <w:tblW w:w="1473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99"/>
        <w:gridCol w:w="1910"/>
        <w:gridCol w:w="992"/>
        <w:gridCol w:w="709"/>
        <w:gridCol w:w="1134"/>
        <w:gridCol w:w="567"/>
        <w:gridCol w:w="567"/>
        <w:gridCol w:w="850"/>
        <w:gridCol w:w="709"/>
        <w:gridCol w:w="992"/>
        <w:gridCol w:w="5603"/>
      </w:tblGrid>
      <w:tr w:rsidR="00D86668" w:rsidRPr="008975D9" w14:paraId="33F6764B" w14:textId="77777777" w:rsidTr="00C11675">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3B198079" w14:textId="77777777" w:rsidR="00D86668" w:rsidRPr="008975D9" w:rsidRDefault="00D86668" w:rsidP="00C11675">
            <w:pPr>
              <w:jc w:val="center"/>
              <w:rPr>
                <w:b/>
                <w:bCs/>
                <w:sz w:val="16"/>
                <w:szCs w:val="16"/>
              </w:rPr>
            </w:pPr>
            <w:r w:rsidRPr="008975D9">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5C626F0F" w14:textId="77777777" w:rsidR="00D86668" w:rsidRPr="008975D9" w:rsidRDefault="00D86668" w:rsidP="00C11675">
            <w:pPr>
              <w:jc w:val="center"/>
              <w:rPr>
                <w:b/>
                <w:bCs/>
                <w:sz w:val="16"/>
                <w:szCs w:val="16"/>
              </w:rPr>
            </w:pPr>
            <w:r w:rsidRPr="008975D9">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474B68C4" w14:textId="77777777" w:rsidR="00D86668" w:rsidRPr="008975D9" w:rsidRDefault="00D86668" w:rsidP="00C11675">
            <w:pPr>
              <w:jc w:val="center"/>
              <w:rPr>
                <w:b/>
                <w:bCs/>
                <w:sz w:val="16"/>
                <w:szCs w:val="16"/>
              </w:rPr>
            </w:pPr>
            <w:r w:rsidRPr="008975D9">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32FF0AA2" w14:textId="77777777" w:rsidR="00D86668" w:rsidRPr="008975D9" w:rsidRDefault="00D86668" w:rsidP="00C11675">
            <w:pPr>
              <w:jc w:val="center"/>
              <w:rPr>
                <w:b/>
                <w:bCs/>
                <w:sz w:val="16"/>
                <w:szCs w:val="16"/>
              </w:rPr>
            </w:pPr>
            <w:r w:rsidRPr="008975D9">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7D47C41C" w14:textId="77777777" w:rsidR="00D86668" w:rsidRPr="008975D9" w:rsidRDefault="00D86668" w:rsidP="00C11675">
            <w:pPr>
              <w:jc w:val="center"/>
              <w:rPr>
                <w:b/>
                <w:bCs/>
                <w:sz w:val="16"/>
                <w:szCs w:val="16"/>
              </w:rPr>
            </w:pPr>
            <w:r w:rsidRPr="008975D9">
              <w:rPr>
                <w:b/>
                <w:bCs/>
                <w:sz w:val="16"/>
                <w:szCs w:val="16"/>
              </w:rPr>
              <w:t>Kategória regiónu</w:t>
            </w:r>
          </w:p>
        </w:tc>
        <w:tc>
          <w:tcPr>
            <w:tcW w:w="1984"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453B6F84" w14:textId="77777777" w:rsidR="00D86668" w:rsidRPr="008975D9" w:rsidRDefault="00D86668" w:rsidP="00C11675">
            <w:pPr>
              <w:jc w:val="center"/>
              <w:rPr>
                <w:b/>
                <w:bCs/>
                <w:sz w:val="16"/>
                <w:szCs w:val="16"/>
              </w:rPr>
            </w:pPr>
            <w:r w:rsidRPr="008975D9">
              <w:rPr>
                <w:b/>
                <w:bCs/>
                <w:sz w:val="16"/>
                <w:szCs w:val="16"/>
              </w:rPr>
              <w:t>Cieľová hodnota (2022)</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1431F2D9" w14:textId="77777777" w:rsidR="00D86668" w:rsidRPr="008975D9" w:rsidRDefault="00D86668" w:rsidP="00C11675">
            <w:pPr>
              <w:jc w:val="center"/>
              <w:rPr>
                <w:b/>
                <w:bCs/>
                <w:sz w:val="16"/>
                <w:szCs w:val="16"/>
              </w:rPr>
            </w:pPr>
            <w:r w:rsidRPr="008975D9">
              <w:rPr>
                <w:b/>
                <w:bCs/>
                <w:sz w:val="16"/>
                <w:szCs w:val="16"/>
              </w:rPr>
              <w:t>Zdroj dát</w:t>
            </w:r>
          </w:p>
        </w:tc>
        <w:tc>
          <w:tcPr>
            <w:tcW w:w="992" w:type="dxa"/>
            <w:vMerge w:val="restart"/>
            <w:tcBorders>
              <w:top w:val="single" w:sz="8" w:space="0" w:color="4E67C8"/>
              <w:left w:val="single" w:sz="8" w:space="0" w:color="4E67C8"/>
              <w:right w:val="single" w:sz="8" w:space="0" w:color="4E67C8"/>
            </w:tcBorders>
            <w:vAlign w:val="center"/>
          </w:tcPr>
          <w:p w14:paraId="5B3E24C7" w14:textId="77777777" w:rsidR="00D86668" w:rsidRPr="008975D9" w:rsidRDefault="00D86668" w:rsidP="00C11675">
            <w:pPr>
              <w:jc w:val="center"/>
              <w:rPr>
                <w:b/>
                <w:bCs/>
                <w:sz w:val="16"/>
                <w:szCs w:val="16"/>
              </w:rPr>
            </w:pPr>
            <w:r w:rsidRPr="008975D9">
              <w:rPr>
                <w:b/>
                <w:bCs/>
                <w:sz w:val="16"/>
                <w:szCs w:val="16"/>
              </w:rPr>
              <w:t>Frekvencia podávania správ</w:t>
            </w:r>
          </w:p>
        </w:tc>
        <w:tc>
          <w:tcPr>
            <w:tcW w:w="5603" w:type="dxa"/>
            <w:vMerge w:val="restart"/>
            <w:tcBorders>
              <w:top w:val="single" w:sz="8" w:space="0" w:color="4E67C8"/>
              <w:left w:val="single" w:sz="8" w:space="0" w:color="4E67C8"/>
              <w:right w:val="single" w:sz="8" w:space="0" w:color="4E67C8"/>
            </w:tcBorders>
          </w:tcPr>
          <w:p w14:paraId="7A15DE1A"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5F1671FA" w14:textId="77777777" w:rsidTr="00C11675">
        <w:trPr>
          <w:trHeight w:val="397"/>
        </w:trPr>
        <w:tc>
          <w:tcPr>
            <w:tcW w:w="699" w:type="dxa"/>
            <w:vMerge/>
            <w:tcBorders>
              <w:left w:val="single" w:sz="8" w:space="0" w:color="4E67C8"/>
              <w:bottom w:val="single" w:sz="18" w:space="0" w:color="4E67C8"/>
              <w:right w:val="single" w:sz="8" w:space="0" w:color="4E67C8"/>
            </w:tcBorders>
            <w:shd w:val="clear" w:color="auto" w:fill="auto"/>
          </w:tcPr>
          <w:p w14:paraId="1124F5FD" w14:textId="77777777" w:rsidR="00D86668" w:rsidRPr="008975D9" w:rsidRDefault="00D86668" w:rsidP="00C11675">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1FD9D1D"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09812FD7" w14:textId="77777777" w:rsidR="00D86668" w:rsidRPr="008975D9" w:rsidRDefault="00D86668" w:rsidP="00C11675">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3C14F777" w14:textId="77777777" w:rsidR="00D86668" w:rsidRPr="008975D9" w:rsidRDefault="00D86668" w:rsidP="00C11675">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0B665817" w14:textId="77777777" w:rsidR="00D86668" w:rsidRPr="008975D9" w:rsidRDefault="00D86668" w:rsidP="00C11675">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04E253F" w14:textId="77777777" w:rsidR="00D86668" w:rsidRPr="008975D9" w:rsidRDefault="00D86668" w:rsidP="00C11675">
            <w:pPr>
              <w:jc w:val="center"/>
              <w:rPr>
                <w:b/>
                <w:bCs/>
                <w:sz w:val="16"/>
                <w:szCs w:val="16"/>
              </w:rPr>
            </w:pPr>
            <w:r w:rsidRPr="008975D9">
              <w:rPr>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00F7D940" w14:textId="77777777" w:rsidR="00D86668" w:rsidRPr="008975D9" w:rsidRDefault="00D86668" w:rsidP="00C11675">
            <w:pPr>
              <w:jc w:val="center"/>
              <w:rPr>
                <w:b/>
                <w:bCs/>
                <w:sz w:val="16"/>
                <w:szCs w:val="16"/>
              </w:rPr>
            </w:pPr>
            <w:r w:rsidRPr="008975D9">
              <w:rPr>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3F562D5D" w14:textId="77777777" w:rsidR="00D86668" w:rsidRPr="008975D9" w:rsidRDefault="00D86668" w:rsidP="00C11675">
            <w:pPr>
              <w:jc w:val="center"/>
              <w:rPr>
                <w:b/>
                <w:bCs/>
                <w:sz w:val="16"/>
                <w:szCs w:val="16"/>
              </w:rPr>
            </w:pPr>
            <w:r w:rsidRPr="008975D9">
              <w:rPr>
                <w:b/>
                <w:bCs/>
                <w:sz w:val="16"/>
                <w:szCs w:val="16"/>
              </w:rPr>
              <w:t>M+Ž</w:t>
            </w:r>
          </w:p>
        </w:tc>
        <w:tc>
          <w:tcPr>
            <w:tcW w:w="709" w:type="dxa"/>
            <w:vMerge/>
            <w:tcBorders>
              <w:left w:val="single" w:sz="8" w:space="0" w:color="4E67C8"/>
              <w:bottom w:val="single" w:sz="18" w:space="0" w:color="4E67C8"/>
              <w:right w:val="single" w:sz="8" w:space="0" w:color="4E67C8"/>
            </w:tcBorders>
            <w:shd w:val="clear" w:color="auto" w:fill="auto"/>
          </w:tcPr>
          <w:p w14:paraId="68171CB4"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tcPr>
          <w:p w14:paraId="59B51B7A" w14:textId="77777777" w:rsidR="00D86668" w:rsidRPr="008975D9" w:rsidRDefault="00D86668" w:rsidP="00C11675">
            <w:pPr>
              <w:rPr>
                <w:b/>
                <w:bCs/>
                <w:sz w:val="16"/>
                <w:szCs w:val="16"/>
              </w:rPr>
            </w:pPr>
          </w:p>
        </w:tc>
        <w:tc>
          <w:tcPr>
            <w:tcW w:w="5603" w:type="dxa"/>
            <w:vMerge/>
            <w:tcBorders>
              <w:left w:val="single" w:sz="8" w:space="0" w:color="4E67C8"/>
              <w:bottom w:val="single" w:sz="18" w:space="0" w:color="4E67C8"/>
              <w:right w:val="single" w:sz="8" w:space="0" w:color="4E67C8"/>
            </w:tcBorders>
          </w:tcPr>
          <w:p w14:paraId="13EBFB5A" w14:textId="77777777" w:rsidR="00D86668" w:rsidRPr="008975D9" w:rsidRDefault="00D86668" w:rsidP="00C11675">
            <w:pPr>
              <w:rPr>
                <w:b/>
                <w:bCs/>
                <w:sz w:val="16"/>
                <w:szCs w:val="16"/>
              </w:rPr>
            </w:pPr>
          </w:p>
        </w:tc>
      </w:tr>
      <w:tr w:rsidR="00D86668" w:rsidRPr="008975D9" w14:paraId="18C3E090"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B1F6C31" w14:textId="77777777" w:rsidR="00D86668" w:rsidRPr="008975D9" w:rsidRDefault="00D86668" w:rsidP="00C11675">
            <w:pPr>
              <w:rPr>
                <w:bCs/>
                <w:sz w:val="16"/>
                <w:szCs w:val="16"/>
              </w:rPr>
            </w:pPr>
            <w:r w:rsidRPr="008975D9">
              <w:rPr>
                <w:bCs/>
                <w:sz w:val="16"/>
                <w:szCs w:val="16"/>
              </w:rPr>
              <w:t>CO35</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F8694F9" w14:textId="77777777" w:rsidR="00D86668" w:rsidRPr="008975D9" w:rsidRDefault="00D86668" w:rsidP="00C11675">
            <w:pPr>
              <w:rPr>
                <w:sz w:val="16"/>
                <w:szCs w:val="16"/>
              </w:rPr>
            </w:pPr>
            <w:r w:rsidRPr="008975D9">
              <w:rPr>
                <w:sz w:val="16"/>
                <w:szCs w:val="16"/>
              </w:rPr>
              <w:t>Kapacita podporenej školskej infraštruktúry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90E1A5A" w14:textId="77777777" w:rsidR="00D86668" w:rsidRPr="008975D9" w:rsidRDefault="00D86668" w:rsidP="00C11675">
            <w:pPr>
              <w:jc w:val="center"/>
              <w:rPr>
                <w:sz w:val="16"/>
                <w:szCs w:val="16"/>
              </w:rPr>
            </w:pPr>
            <w:r w:rsidRPr="008975D9">
              <w:rPr>
                <w:sz w:val="16"/>
                <w:szCs w:val="16"/>
              </w:rPr>
              <w:t>osoba</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15DF50"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B24DA21"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FD0E434"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BCF6BEB"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6BE5B8" w14:textId="77777777" w:rsidR="00D86668" w:rsidRPr="008975D9" w:rsidRDefault="00D86668" w:rsidP="00C11675">
            <w:pPr>
              <w:jc w:val="center"/>
              <w:rPr>
                <w:sz w:val="16"/>
                <w:szCs w:val="16"/>
              </w:rPr>
            </w:pPr>
            <w:r>
              <w:rPr>
                <w:sz w:val="16"/>
                <w:szCs w:val="16"/>
              </w:rPr>
              <w:t>17 511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958AB66"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B41CBA"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tcPr>
          <w:p w14:paraId="0DBF0003" w14:textId="77777777" w:rsidR="00D86668" w:rsidRPr="008975D9" w:rsidRDefault="00D86668" w:rsidP="00C11675">
            <w:pPr>
              <w:jc w:val="both"/>
              <w:rPr>
                <w:sz w:val="16"/>
                <w:szCs w:val="16"/>
              </w:rPr>
            </w:pPr>
            <w:r w:rsidRPr="008975D9">
              <w:rPr>
                <w:sz w:val="16"/>
                <w:szCs w:val="16"/>
              </w:rPr>
              <w:t xml:space="preserve">Ide o spoločný ukazovateľ pre špecifický cieľ 7.4 a 7.5 do ktorého sa bude započítavať kapacita podporených základných ako aj stredných odborných škôl. </w:t>
            </w:r>
          </w:p>
          <w:p w14:paraId="7370310D" w14:textId="77777777" w:rsidR="00D86668" w:rsidRPr="008975D9" w:rsidRDefault="00D86668" w:rsidP="00C11675">
            <w:pPr>
              <w:jc w:val="both"/>
              <w:rPr>
                <w:sz w:val="16"/>
                <w:szCs w:val="16"/>
              </w:rPr>
            </w:pPr>
            <w:r w:rsidRPr="008975D9">
              <w:rPr>
                <w:sz w:val="16"/>
                <w:szCs w:val="16"/>
              </w:rPr>
              <w:t>RO pre IROP vybral tento ukazovateľ z dôvodu, že ide o „</w:t>
            </w:r>
            <w:proofErr w:type="spellStart"/>
            <w:r w:rsidRPr="008975D9">
              <w:rPr>
                <w:sz w:val="16"/>
                <w:szCs w:val="16"/>
              </w:rPr>
              <w:t>common</w:t>
            </w:r>
            <w:proofErr w:type="spellEnd"/>
            <w:r w:rsidRPr="008975D9">
              <w:rPr>
                <w:sz w:val="16"/>
                <w:szCs w:val="16"/>
              </w:rPr>
              <w:t xml:space="preserve">“ ukazovateľ EK, je relevantný pre dané oblasti podpory a je sledovaných aj v ostatných ŠC </w:t>
            </w:r>
            <w:r w:rsidRPr="008975D9">
              <w:rPr>
                <w:sz w:val="16"/>
                <w:szCs w:val="16"/>
              </w:rPr>
              <w:lastRenderedPageBreak/>
              <w:t>OP v oblasti regionálneho školstva.</w:t>
            </w:r>
          </w:p>
          <w:p w14:paraId="3216C83E" w14:textId="77777777" w:rsidR="00D86668" w:rsidRPr="008975D9" w:rsidRDefault="00D86668" w:rsidP="00C11675">
            <w:pPr>
              <w:jc w:val="both"/>
              <w:rPr>
                <w:sz w:val="16"/>
                <w:szCs w:val="16"/>
              </w:rPr>
            </w:pPr>
            <w:r w:rsidRPr="008975D9">
              <w:rPr>
                <w:sz w:val="16"/>
                <w:szCs w:val="16"/>
              </w:rPr>
              <w:t xml:space="preserve">V oblasti SOŠ je navrhovaná kapacita v objeme </w:t>
            </w:r>
            <w:r>
              <w:rPr>
                <w:sz w:val="16"/>
                <w:szCs w:val="16"/>
              </w:rPr>
              <w:t>2 084</w:t>
            </w:r>
            <w:r w:rsidRPr="008975D9">
              <w:rPr>
                <w:sz w:val="16"/>
                <w:szCs w:val="16"/>
              </w:rPr>
              <w:t xml:space="preserve"> a pri základných školách </w:t>
            </w:r>
            <w:r>
              <w:rPr>
                <w:sz w:val="16"/>
                <w:szCs w:val="16"/>
              </w:rPr>
              <w:t>o</w:t>
            </w:r>
            <w:r w:rsidRPr="008975D9">
              <w:rPr>
                <w:sz w:val="16"/>
                <w:szCs w:val="16"/>
              </w:rPr>
              <w:t xml:space="preserve">čakávame podporenú kapacitu v objeme </w:t>
            </w:r>
            <w:r>
              <w:rPr>
                <w:sz w:val="16"/>
                <w:szCs w:val="16"/>
              </w:rPr>
              <w:t xml:space="preserve">15 427 </w:t>
            </w:r>
            <w:r w:rsidRPr="008975D9">
              <w:rPr>
                <w:sz w:val="16"/>
                <w:szCs w:val="16"/>
              </w:rPr>
              <w:t>žiakov.</w:t>
            </w:r>
          </w:p>
          <w:p w14:paraId="2F0CCA91"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31BD977F"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D8ABD85" w14:textId="77777777" w:rsidR="00D86668" w:rsidRPr="008975D9" w:rsidRDefault="00D86668" w:rsidP="00C11675">
            <w:pPr>
              <w:rPr>
                <w:bCs/>
                <w:sz w:val="16"/>
                <w:szCs w:val="16"/>
              </w:rPr>
            </w:pPr>
            <w:r w:rsidRPr="008975D9">
              <w:rPr>
                <w:bCs/>
                <w:sz w:val="16"/>
                <w:szCs w:val="16"/>
              </w:rPr>
              <w:lastRenderedPageBreak/>
              <w:t>O0223</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955C8D" w14:textId="77777777" w:rsidR="00D86668" w:rsidRPr="008975D9" w:rsidRDefault="00D86668" w:rsidP="00C11675">
            <w:pPr>
              <w:rPr>
                <w:sz w:val="16"/>
                <w:szCs w:val="16"/>
              </w:rPr>
            </w:pPr>
            <w:r w:rsidRPr="008975D9">
              <w:rPr>
                <w:sz w:val="16"/>
                <w:szCs w:val="16"/>
              </w:rPr>
              <w:t>Počet nových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30C60C6" w14:textId="77777777" w:rsidR="00D86668" w:rsidRPr="008975D9" w:rsidRDefault="00D86668" w:rsidP="00C11675">
            <w:pPr>
              <w:jc w:val="center"/>
              <w:rPr>
                <w:sz w:val="16"/>
                <w:szCs w:val="16"/>
              </w:rPr>
            </w:pPr>
            <w:r w:rsidRPr="008975D9">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CE92D5A"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87D899F"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31584E0"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B97540C"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78045EC" w14:textId="77777777" w:rsidR="00D86668" w:rsidRPr="008975D9" w:rsidRDefault="00D86668" w:rsidP="00C11675">
            <w:pPr>
              <w:jc w:val="center"/>
              <w:rPr>
                <w:sz w:val="16"/>
                <w:szCs w:val="16"/>
              </w:rPr>
            </w:pPr>
            <w:r>
              <w:rPr>
                <w:sz w:val="16"/>
                <w:szCs w:val="16"/>
              </w:rPr>
              <w:t>8</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074859"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56F6177"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1CFAD1B2" w14:textId="77777777" w:rsidR="00D86668" w:rsidRPr="008975D9" w:rsidRDefault="00D86668" w:rsidP="00C11675">
            <w:pPr>
              <w:jc w:val="both"/>
              <w:rPr>
                <w:sz w:val="16"/>
                <w:szCs w:val="16"/>
              </w:rPr>
            </w:pPr>
            <w:r w:rsidRPr="008975D9">
              <w:rPr>
                <w:sz w:val="16"/>
                <w:szCs w:val="16"/>
              </w:rPr>
              <w:t xml:space="preserve">Cieľové hodnoty ukazovateľa vychádzajú z údajov pripravených projektových dokumentácii (ZŠ </w:t>
            </w:r>
            <w:r>
              <w:rPr>
                <w:sz w:val="16"/>
                <w:szCs w:val="16"/>
              </w:rPr>
              <w:t>6</w:t>
            </w:r>
            <w:r w:rsidRPr="008975D9">
              <w:rPr>
                <w:sz w:val="16"/>
                <w:szCs w:val="16"/>
              </w:rPr>
              <w:t xml:space="preserve">, SOŠ </w:t>
            </w:r>
            <w:r>
              <w:rPr>
                <w:sz w:val="16"/>
                <w:szCs w:val="16"/>
              </w:rPr>
              <w:t>2</w:t>
            </w:r>
            <w:r w:rsidRPr="008975D9">
              <w:rPr>
                <w:sz w:val="16"/>
                <w:szCs w:val="16"/>
              </w:rPr>
              <w:t>).</w:t>
            </w:r>
          </w:p>
          <w:p w14:paraId="5D4B6DBB"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576B3E9D"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169A094" w14:textId="77777777" w:rsidR="00D86668" w:rsidRPr="008975D9" w:rsidRDefault="00D86668" w:rsidP="00C11675">
            <w:pPr>
              <w:rPr>
                <w:bCs/>
                <w:sz w:val="16"/>
                <w:szCs w:val="16"/>
              </w:rPr>
            </w:pPr>
            <w:r w:rsidRPr="008975D9">
              <w:rPr>
                <w:bCs/>
                <w:sz w:val="16"/>
                <w:szCs w:val="16"/>
              </w:rPr>
              <w:t>O0253</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C422581" w14:textId="77777777" w:rsidR="00D86668" w:rsidRPr="008975D9" w:rsidRDefault="00D86668" w:rsidP="00C11675">
            <w:pPr>
              <w:rPr>
                <w:sz w:val="16"/>
                <w:szCs w:val="16"/>
              </w:rPr>
            </w:pPr>
            <w:r w:rsidRPr="008975D9">
              <w:rPr>
                <w:sz w:val="16"/>
                <w:szCs w:val="16"/>
              </w:rPr>
              <w:t>Počet renovovaných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A5BA99" w14:textId="77777777" w:rsidR="00D86668" w:rsidRPr="008975D9" w:rsidRDefault="00D86668" w:rsidP="00C11675">
            <w:pPr>
              <w:jc w:val="center"/>
              <w:rPr>
                <w:sz w:val="16"/>
                <w:szCs w:val="16"/>
              </w:rPr>
            </w:pPr>
            <w:r w:rsidRPr="008975D9">
              <w:rPr>
                <w:sz w:val="16"/>
                <w:szCs w:val="16"/>
              </w:rPr>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0F47FA3"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ED15406"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9152C8"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5218C03"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3052243" w14:textId="77777777" w:rsidR="00D86668" w:rsidRPr="008975D9" w:rsidRDefault="00D86668" w:rsidP="00C11675">
            <w:pPr>
              <w:jc w:val="center"/>
              <w:rPr>
                <w:sz w:val="16"/>
                <w:szCs w:val="16"/>
              </w:rPr>
            </w:pPr>
            <w:r>
              <w:rPr>
                <w:sz w:val="16"/>
                <w:szCs w:val="16"/>
              </w:rPr>
              <w:t>39</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7002FA5"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309578"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7BE31633" w14:textId="77777777" w:rsidR="00D86668" w:rsidRPr="008975D9" w:rsidRDefault="00D86668" w:rsidP="00C11675">
            <w:pPr>
              <w:jc w:val="both"/>
              <w:rPr>
                <w:sz w:val="16"/>
                <w:szCs w:val="16"/>
              </w:rPr>
            </w:pPr>
            <w:r w:rsidRPr="008975D9">
              <w:rPr>
                <w:sz w:val="16"/>
                <w:szCs w:val="16"/>
              </w:rPr>
              <w:t>Cieľové hodnoty ukazovateľa vychádzajú z údajov pripravených projektových dokumentácii (ŽS</w:t>
            </w:r>
            <w:r>
              <w:rPr>
                <w:sz w:val="16"/>
                <w:szCs w:val="16"/>
              </w:rPr>
              <w:t>24</w:t>
            </w:r>
            <w:r w:rsidRPr="008975D9">
              <w:rPr>
                <w:sz w:val="16"/>
                <w:szCs w:val="16"/>
              </w:rPr>
              <w:t>, SOŠ</w:t>
            </w:r>
            <w:r>
              <w:rPr>
                <w:sz w:val="16"/>
                <w:szCs w:val="16"/>
              </w:rPr>
              <w:t>15</w:t>
            </w:r>
            <w:r w:rsidRPr="008975D9">
              <w:rPr>
                <w:sz w:val="16"/>
                <w:szCs w:val="16"/>
              </w:rPr>
              <w:t>).</w:t>
            </w:r>
          </w:p>
          <w:p w14:paraId="51D79B3C"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0A171DF5"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84DE381" w14:textId="77777777" w:rsidR="00D86668" w:rsidRPr="008975D9" w:rsidRDefault="00D86668" w:rsidP="00C11675">
            <w:pPr>
              <w:rPr>
                <w:bCs/>
                <w:sz w:val="16"/>
                <w:szCs w:val="16"/>
              </w:rPr>
            </w:pPr>
            <w:r w:rsidRPr="008975D9">
              <w:rPr>
                <w:bCs/>
                <w:sz w:val="16"/>
                <w:szCs w:val="16"/>
              </w:rPr>
              <w:t>O0224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F1D96DD" w14:textId="77777777" w:rsidR="00D86668" w:rsidRPr="008975D9" w:rsidRDefault="00D86668" w:rsidP="00C11675">
            <w:pPr>
              <w:rPr>
                <w:sz w:val="16"/>
                <w:szCs w:val="16"/>
              </w:rPr>
            </w:pPr>
            <w:r w:rsidRPr="008975D9">
              <w:rPr>
                <w:sz w:val="16"/>
                <w:szCs w:val="16"/>
              </w:rPr>
              <w:t>Podlahová plocha renovovaných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3195AB" w14:textId="77777777" w:rsidR="00D86668" w:rsidRPr="008975D9" w:rsidRDefault="00D86668" w:rsidP="00C11675">
            <w:pPr>
              <w:jc w:val="center"/>
              <w:rPr>
                <w:sz w:val="16"/>
                <w:szCs w:val="16"/>
              </w:rPr>
            </w:pPr>
            <w:r w:rsidRPr="008975D9">
              <w:rPr>
                <w:sz w:val="16"/>
                <w:szCs w:val="16"/>
              </w:rPr>
              <w:t>m</w:t>
            </w:r>
            <w:r w:rsidRPr="008975D9">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247A4DA"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8C0FF8"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54D6F98"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6BECD2B"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D1D83D" w14:textId="77777777" w:rsidR="00D86668" w:rsidRPr="008975D9" w:rsidRDefault="00D86668" w:rsidP="00C11675">
            <w:pPr>
              <w:jc w:val="center"/>
              <w:rPr>
                <w:sz w:val="16"/>
                <w:szCs w:val="16"/>
              </w:rPr>
            </w:pPr>
            <w:r>
              <w:rPr>
                <w:sz w:val="16"/>
                <w:szCs w:val="16"/>
              </w:rPr>
              <w:t>73 082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D619266"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33A1ECE"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47BCB72D" w14:textId="77777777" w:rsidR="00D86668" w:rsidRPr="008975D9" w:rsidRDefault="00D86668" w:rsidP="00C11675">
            <w:pPr>
              <w:jc w:val="both"/>
              <w:rPr>
                <w:sz w:val="16"/>
                <w:szCs w:val="16"/>
              </w:rPr>
            </w:pPr>
            <w:r w:rsidRPr="008975D9">
              <w:rPr>
                <w:sz w:val="16"/>
                <w:szCs w:val="16"/>
              </w:rPr>
              <w:t xml:space="preserve">Cieľové hodnoty ukazovateľa vychádzajú z údajov pripravených projektových dokumentácii (ZŠ </w:t>
            </w:r>
            <w:r>
              <w:rPr>
                <w:sz w:val="16"/>
                <w:szCs w:val="16"/>
              </w:rPr>
              <w:t>40 540</w:t>
            </w:r>
            <w:r w:rsidRPr="008975D9">
              <w:rPr>
                <w:sz w:val="16"/>
                <w:szCs w:val="16"/>
              </w:rPr>
              <w:t>, SOŠ</w:t>
            </w:r>
            <w:r>
              <w:rPr>
                <w:sz w:val="16"/>
                <w:szCs w:val="16"/>
              </w:rPr>
              <w:t>32 542</w:t>
            </w:r>
            <w:r w:rsidRPr="008975D9">
              <w:rPr>
                <w:sz w:val="16"/>
                <w:szCs w:val="16"/>
              </w:rPr>
              <w:t>).</w:t>
            </w:r>
          </w:p>
          <w:p w14:paraId="2DCC1A3B"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3FE89E9F"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3E4EF49" w14:textId="77777777" w:rsidR="00D86668" w:rsidRPr="008975D9" w:rsidRDefault="00D86668" w:rsidP="00C11675">
            <w:pPr>
              <w:rPr>
                <w:bCs/>
                <w:sz w:val="16"/>
                <w:szCs w:val="16"/>
              </w:rPr>
            </w:pPr>
            <w:r w:rsidRPr="008975D9">
              <w:rPr>
                <w:bCs/>
                <w:sz w:val="16"/>
                <w:szCs w:val="16"/>
              </w:rPr>
              <w:t>O0225</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BC8E98" w14:textId="77777777" w:rsidR="00D86668" w:rsidRPr="008975D9" w:rsidRDefault="00D86668" w:rsidP="00C11675">
            <w:pPr>
              <w:rPr>
                <w:sz w:val="16"/>
                <w:szCs w:val="16"/>
              </w:rPr>
            </w:pPr>
            <w:r w:rsidRPr="008975D9">
              <w:rPr>
                <w:sz w:val="16"/>
                <w:szCs w:val="16"/>
              </w:rPr>
              <w:t>Podlahová plocha nových verejných budov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CB75D93" w14:textId="77777777" w:rsidR="00D86668" w:rsidRPr="008975D9" w:rsidRDefault="00D86668" w:rsidP="00C11675">
            <w:pPr>
              <w:jc w:val="center"/>
              <w:rPr>
                <w:sz w:val="16"/>
                <w:szCs w:val="16"/>
              </w:rPr>
            </w:pPr>
            <w:r w:rsidRPr="008975D9">
              <w:rPr>
                <w:sz w:val="16"/>
                <w:szCs w:val="16"/>
              </w:rPr>
              <w:t>m</w:t>
            </w:r>
            <w:r w:rsidRPr="008975D9">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18D89B8"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E95652"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BA17901"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CAC06CF"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E8E1F2C" w14:textId="77777777" w:rsidR="00D86668" w:rsidRPr="008975D9" w:rsidRDefault="00D86668" w:rsidP="00C11675">
            <w:pPr>
              <w:jc w:val="center"/>
              <w:rPr>
                <w:sz w:val="16"/>
                <w:szCs w:val="16"/>
              </w:rPr>
            </w:pPr>
            <w:r>
              <w:rPr>
                <w:sz w:val="16"/>
                <w:szCs w:val="16"/>
              </w:rPr>
              <w:t>9 254</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D4EAB02"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E034545"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2E851DDE" w14:textId="77777777" w:rsidR="00D86668" w:rsidRPr="008975D9" w:rsidRDefault="00D86668" w:rsidP="00C11675">
            <w:pPr>
              <w:jc w:val="both"/>
              <w:rPr>
                <w:sz w:val="16"/>
                <w:szCs w:val="16"/>
              </w:rPr>
            </w:pPr>
            <w:r w:rsidRPr="008975D9">
              <w:rPr>
                <w:sz w:val="16"/>
                <w:szCs w:val="16"/>
              </w:rPr>
              <w:t>Cieľové hodnoty ukazovateľa vychádzajú z údajov pripravených projektových dokumentácii (ZŠ</w:t>
            </w:r>
            <w:r>
              <w:rPr>
                <w:sz w:val="16"/>
                <w:szCs w:val="16"/>
              </w:rPr>
              <w:t>8 437</w:t>
            </w:r>
            <w:r w:rsidRPr="008975D9">
              <w:rPr>
                <w:sz w:val="16"/>
                <w:szCs w:val="16"/>
              </w:rPr>
              <w:t>, SOŠ</w:t>
            </w:r>
            <w:r>
              <w:rPr>
                <w:sz w:val="16"/>
                <w:szCs w:val="16"/>
              </w:rPr>
              <w:t>817</w:t>
            </w:r>
            <w:r w:rsidRPr="008975D9">
              <w:rPr>
                <w:sz w:val="16"/>
                <w:szCs w:val="16"/>
              </w:rPr>
              <w:t>).</w:t>
            </w:r>
          </w:p>
          <w:p w14:paraId="43D79129"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046BEFB2"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A1A1399" w14:textId="77777777" w:rsidR="00D86668" w:rsidRPr="008975D9" w:rsidRDefault="00D86668" w:rsidP="00C11675">
            <w:pPr>
              <w:rPr>
                <w:bCs/>
                <w:sz w:val="16"/>
                <w:szCs w:val="16"/>
              </w:rPr>
            </w:pPr>
            <w:r w:rsidRPr="008975D9">
              <w:rPr>
                <w:bCs/>
                <w:sz w:val="16"/>
                <w:szCs w:val="16"/>
              </w:rPr>
              <w:t>C0032</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56ECC9E" w14:textId="77777777" w:rsidR="00D86668" w:rsidRPr="008975D9" w:rsidRDefault="00D86668" w:rsidP="00C11675">
            <w:pPr>
              <w:rPr>
                <w:sz w:val="16"/>
                <w:szCs w:val="16"/>
              </w:rPr>
            </w:pPr>
            <w:r w:rsidRPr="008975D9">
              <w:rPr>
                <w:sz w:val="16"/>
                <w:szCs w:val="16"/>
              </w:rPr>
              <w:t xml:space="preserve">Zníženie ročnej spotreby primárnej energie vo verejných budovách </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6ACA2C9" w14:textId="77777777" w:rsidR="00D86668" w:rsidRPr="008975D9" w:rsidRDefault="00D86668" w:rsidP="00C11675">
            <w:pPr>
              <w:jc w:val="center"/>
              <w:rPr>
                <w:sz w:val="16"/>
                <w:szCs w:val="16"/>
              </w:rPr>
            </w:pPr>
            <w:r w:rsidRPr="008975D9">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7EDED9B"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C1456C"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A913293"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F4E124A"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1204F0A" w14:textId="77777777" w:rsidR="00D86668" w:rsidRPr="0084285A" w:rsidRDefault="00D86668" w:rsidP="00C11675">
            <w:pPr>
              <w:jc w:val="center"/>
              <w:rPr>
                <w:sz w:val="16"/>
                <w:szCs w:val="16"/>
              </w:rPr>
            </w:pPr>
            <w:r w:rsidRPr="0084285A">
              <w:rPr>
                <w:sz w:val="16"/>
                <w:szCs w:val="16"/>
              </w:rPr>
              <w:t>2 931 997</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F850847" w14:textId="77777777" w:rsidR="00D86668" w:rsidRPr="0084285A" w:rsidRDefault="00D86668" w:rsidP="00C11675">
            <w:pPr>
              <w:jc w:val="center"/>
              <w:rPr>
                <w:sz w:val="16"/>
                <w:szCs w:val="16"/>
              </w:rPr>
            </w:pPr>
            <w:r w:rsidRPr="0084285A">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D9B56DE"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4B608300" w14:textId="77777777" w:rsidR="00D86668" w:rsidRPr="008975D9" w:rsidRDefault="00D86668" w:rsidP="00C11675">
            <w:pPr>
              <w:jc w:val="both"/>
              <w:rPr>
                <w:sz w:val="16"/>
                <w:szCs w:val="16"/>
              </w:rPr>
            </w:pPr>
            <w:r w:rsidRPr="008975D9">
              <w:rPr>
                <w:sz w:val="16"/>
                <w:szCs w:val="16"/>
              </w:rPr>
              <w:t>Cieľové hodnoty ukazovateľa vychádzajú z údajov pripravených projektových dokumentácii (ŽS</w:t>
            </w:r>
            <w:r>
              <w:rPr>
                <w:sz w:val="16"/>
                <w:szCs w:val="16"/>
              </w:rPr>
              <w:t>1 612 095</w:t>
            </w:r>
            <w:r w:rsidRPr="008975D9">
              <w:rPr>
                <w:sz w:val="16"/>
                <w:szCs w:val="16"/>
              </w:rPr>
              <w:t>, SOŠ</w:t>
            </w:r>
            <w:r>
              <w:rPr>
                <w:sz w:val="16"/>
                <w:szCs w:val="16"/>
              </w:rPr>
              <w:t>1 319 902</w:t>
            </w:r>
            <w:r w:rsidRPr="008975D9">
              <w:rPr>
                <w:sz w:val="16"/>
                <w:szCs w:val="16"/>
              </w:rPr>
              <w:t xml:space="preserve">). </w:t>
            </w:r>
          </w:p>
          <w:p w14:paraId="508E76AF"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48CBDD33"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BD72428" w14:textId="77777777" w:rsidR="00D86668" w:rsidRPr="008975D9" w:rsidRDefault="00D86668" w:rsidP="00C11675">
            <w:pPr>
              <w:rPr>
                <w:bCs/>
                <w:sz w:val="16"/>
                <w:szCs w:val="16"/>
              </w:rPr>
            </w:pPr>
            <w:r w:rsidRPr="008975D9">
              <w:rPr>
                <w:bCs/>
                <w:sz w:val="16"/>
                <w:szCs w:val="16"/>
              </w:rPr>
              <w:t>C0034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792D79D" w14:textId="77777777" w:rsidR="00D86668" w:rsidRPr="008975D9" w:rsidRDefault="00D86668" w:rsidP="00C11675">
            <w:pPr>
              <w:rPr>
                <w:sz w:val="16"/>
                <w:szCs w:val="16"/>
              </w:rPr>
            </w:pPr>
            <w:r w:rsidRPr="008975D9">
              <w:rPr>
                <w:sz w:val="16"/>
                <w:szCs w:val="16"/>
              </w:rPr>
              <w:t>Odhadované ročné zníženie emisií skleníkových plynov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7668E01" w14:textId="77777777" w:rsidR="00D86668" w:rsidRPr="008975D9" w:rsidRDefault="00D86668" w:rsidP="00C11675">
            <w:pPr>
              <w:jc w:val="center"/>
              <w:rPr>
                <w:sz w:val="16"/>
                <w:szCs w:val="16"/>
              </w:rPr>
            </w:pPr>
            <w:r w:rsidRPr="008975D9">
              <w:rPr>
                <w:sz w:val="16"/>
                <w:szCs w:val="16"/>
              </w:rPr>
              <w:t xml:space="preserve">t </w:t>
            </w:r>
            <w:proofErr w:type="spellStart"/>
            <w:r w:rsidRPr="008975D9">
              <w:rPr>
                <w:sz w:val="16"/>
                <w:szCs w:val="16"/>
              </w:rPr>
              <w:t>ekviv</w:t>
            </w:r>
            <w:proofErr w:type="spellEnd"/>
            <w:r w:rsidRPr="008975D9">
              <w:rPr>
                <w:sz w:val="16"/>
                <w:szCs w:val="16"/>
              </w:rPr>
              <w:t>. CO</w:t>
            </w:r>
            <w:r w:rsidRPr="008975D9">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462B2C0"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970494A"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3B8780C"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6E227DE" w14:textId="77777777" w:rsidR="00D86668" w:rsidRPr="008975D9" w:rsidRDefault="00D86668" w:rsidP="00C11675">
            <w:pPr>
              <w:jc w:val="center"/>
              <w:rPr>
                <w:sz w:val="16"/>
                <w:szCs w:val="16"/>
              </w:rPr>
            </w:pPr>
            <w:r w:rsidRPr="008975D9">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D2062BD" w14:textId="77777777" w:rsidR="00D86668" w:rsidRPr="008975D9" w:rsidRDefault="00D86668" w:rsidP="00C11675">
            <w:pPr>
              <w:jc w:val="center"/>
              <w:rPr>
                <w:sz w:val="16"/>
                <w:szCs w:val="16"/>
              </w:rPr>
            </w:pPr>
            <w:r>
              <w:rPr>
                <w:sz w:val="16"/>
                <w:szCs w:val="16"/>
              </w:rPr>
              <w:t>531</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E78C680" w14:textId="77777777" w:rsidR="00D86668" w:rsidRPr="008975D9" w:rsidRDefault="00D86668" w:rsidP="00C11675">
            <w:pPr>
              <w:jc w:val="center"/>
              <w:rPr>
                <w:sz w:val="16"/>
                <w:szCs w:val="16"/>
              </w:rPr>
            </w:pPr>
            <w:r w:rsidRPr="008975D9">
              <w:rPr>
                <w:sz w:val="16"/>
                <w:szCs w:val="16"/>
              </w:rPr>
              <w:t>ITMS</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A63EE2C" w14:textId="77777777" w:rsidR="00D86668" w:rsidRPr="008975D9" w:rsidRDefault="00D86668" w:rsidP="00C11675">
            <w:pPr>
              <w:jc w:val="center"/>
              <w:rPr>
                <w:sz w:val="16"/>
                <w:szCs w:val="16"/>
              </w:rPr>
            </w:pPr>
            <w:r w:rsidRPr="008975D9">
              <w:rPr>
                <w:sz w:val="16"/>
                <w:szCs w:val="16"/>
              </w:rPr>
              <w:t>ročne</w:t>
            </w:r>
          </w:p>
        </w:tc>
        <w:tc>
          <w:tcPr>
            <w:tcW w:w="5603" w:type="dxa"/>
            <w:tcBorders>
              <w:top w:val="single" w:sz="8" w:space="0" w:color="4E67C8"/>
              <w:left w:val="single" w:sz="8" w:space="0" w:color="4E67C8"/>
              <w:bottom w:val="single" w:sz="8" w:space="0" w:color="4E67C8"/>
              <w:right w:val="single" w:sz="8" w:space="0" w:color="4E67C8"/>
            </w:tcBorders>
            <w:vAlign w:val="center"/>
          </w:tcPr>
          <w:p w14:paraId="26B4E760" w14:textId="77777777" w:rsidR="00D86668" w:rsidRPr="008975D9" w:rsidRDefault="00D86668" w:rsidP="00C11675">
            <w:pPr>
              <w:jc w:val="both"/>
              <w:rPr>
                <w:sz w:val="16"/>
                <w:szCs w:val="16"/>
              </w:rPr>
            </w:pPr>
            <w:r>
              <w:rPr>
                <w:sz w:val="16"/>
                <w:szCs w:val="16"/>
              </w:rPr>
              <w:t xml:space="preserve">V rámci výpočtu pôvodnej hodnoty došlo k pochybeniu; súčasná hodnota odráža skutočnú hodnotu </w:t>
            </w:r>
            <w:r w:rsidRPr="008975D9">
              <w:rPr>
                <w:sz w:val="16"/>
                <w:szCs w:val="16"/>
              </w:rPr>
              <w:t>zníženie emisií skleníkových plynov</w:t>
            </w:r>
            <w:r>
              <w:rPr>
                <w:sz w:val="16"/>
                <w:szCs w:val="16"/>
              </w:rPr>
              <w:t xml:space="preserve"> v rámci  možností navrhovaných technických riešení. </w:t>
            </w:r>
            <w:r w:rsidRPr="008975D9">
              <w:rPr>
                <w:sz w:val="16"/>
                <w:szCs w:val="16"/>
              </w:rPr>
              <w:t xml:space="preserve">Cieľové hodnoty ukazovateľa vychádzajú z údajov pripravených projektových dokumentácii (ŽS </w:t>
            </w:r>
            <w:r>
              <w:rPr>
                <w:sz w:val="16"/>
                <w:szCs w:val="16"/>
              </w:rPr>
              <w:t>255</w:t>
            </w:r>
            <w:r w:rsidRPr="008975D9">
              <w:rPr>
                <w:sz w:val="16"/>
                <w:szCs w:val="16"/>
              </w:rPr>
              <w:t>, SOŠ</w:t>
            </w:r>
            <w:r>
              <w:rPr>
                <w:sz w:val="16"/>
                <w:szCs w:val="16"/>
              </w:rPr>
              <w:t>276</w:t>
            </w:r>
            <w:r w:rsidRPr="008975D9">
              <w:rPr>
                <w:sz w:val="16"/>
                <w:szCs w:val="16"/>
              </w:rPr>
              <w:t>).</w:t>
            </w:r>
          </w:p>
          <w:p w14:paraId="051D1C1B"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bl>
    <w:p w14:paraId="4FF1B981" w14:textId="77777777" w:rsidR="00D86668" w:rsidRDefault="00D86668" w:rsidP="00D86668">
      <w:pPr>
        <w:rPr>
          <w:sz w:val="16"/>
          <w:szCs w:val="16"/>
        </w:rPr>
      </w:pPr>
    </w:p>
    <w:p w14:paraId="0743E3A0" w14:textId="77777777" w:rsidR="00D86668" w:rsidRDefault="00D86668" w:rsidP="00D86668">
      <w:pPr>
        <w:pStyle w:val="Odsekzoznamu"/>
        <w:spacing w:before="120" w:after="0" w:line="240" w:lineRule="auto"/>
        <w:ind w:left="0"/>
        <w:jc w:val="both"/>
        <w:rPr>
          <w:rFonts w:ascii="Arial" w:hAnsi="Arial" w:cs="Arial"/>
          <w:b/>
          <w:i/>
          <w:sz w:val="16"/>
          <w:szCs w:val="16"/>
        </w:rPr>
      </w:pPr>
      <w:r w:rsidRPr="008975D9">
        <w:rPr>
          <w:rFonts w:ascii="Arial" w:hAnsi="Arial" w:cs="Arial"/>
          <w:b/>
          <w:i/>
          <w:sz w:val="16"/>
          <w:szCs w:val="16"/>
        </w:rPr>
        <w:t>Špecifický cieľ č. 7.</w:t>
      </w:r>
      <w:r>
        <w:rPr>
          <w:rFonts w:ascii="Arial" w:hAnsi="Arial" w:cs="Arial"/>
          <w:b/>
          <w:i/>
          <w:sz w:val="16"/>
          <w:szCs w:val="16"/>
        </w:rPr>
        <w:t>6</w:t>
      </w:r>
      <w:r w:rsidRPr="008975D9">
        <w:rPr>
          <w:rFonts w:ascii="Arial" w:hAnsi="Arial" w:cs="Arial"/>
          <w:b/>
          <w:i/>
          <w:sz w:val="16"/>
          <w:szCs w:val="16"/>
        </w:rPr>
        <w:t xml:space="preserve">: </w:t>
      </w:r>
      <w:r>
        <w:rPr>
          <w:rFonts w:ascii="Arial" w:hAnsi="Arial" w:cs="Arial"/>
          <w:b/>
          <w:iCs/>
          <w:sz w:val="16"/>
          <w:szCs w:val="16"/>
        </w:rPr>
        <w:t>Predprojektová príprava</w:t>
      </w:r>
    </w:p>
    <w:p w14:paraId="52801D2F" w14:textId="77777777" w:rsidR="00D86668" w:rsidRDefault="00D86668" w:rsidP="00D86668">
      <w:pPr>
        <w:pStyle w:val="Odsekzoznamu"/>
        <w:spacing w:before="120" w:after="0" w:line="240" w:lineRule="auto"/>
        <w:ind w:left="0"/>
        <w:jc w:val="both"/>
        <w:rPr>
          <w:rFonts w:ascii="Arial" w:hAnsi="Arial" w:cs="Arial"/>
          <w:b/>
          <w:i/>
          <w:sz w:val="16"/>
          <w:szCs w:val="16"/>
        </w:rPr>
      </w:pPr>
    </w:p>
    <w:p w14:paraId="17EC666C" w14:textId="77777777" w:rsidR="00D86668" w:rsidRDefault="00D86668" w:rsidP="00D86668">
      <w:pPr>
        <w:pStyle w:val="Odsekzoznamu"/>
        <w:spacing w:before="120" w:after="0" w:line="240" w:lineRule="auto"/>
        <w:ind w:left="0"/>
        <w:jc w:val="both"/>
        <w:rPr>
          <w:rFonts w:ascii="Arial" w:hAnsi="Arial" w:cs="Arial"/>
          <w:b/>
          <w:i/>
          <w:sz w:val="16"/>
          <w:szCs w:val="16"/>
        </w:rPr>
      </w:pPr>
    </w:p>
    <w:p w14:paraId="6322089C" w14:textId="77777777" w:rsidR="00D86668" w:rsidRPr="008975D9" w:rsidRDefault="00D86668" w:rsidP="00D86668">
      <w:pPr>
        <w:rPr>
          <w:rStyle w:val="Zvraznenie"/>
          <w:sz w:val="16"/>
          <w:szCs w:val="16"/>
        </w:rPr>
      </w:pPr>
      <w:r w:rsidRPr="008975D9">
        <w:rPr>
          <w:rStyle w:val="Zvraznenie"/>
          <w:sz w:val="16"/>
          <w:szCs w:val="16"/>
        </w:rPr>
        <w:t>Výsledkový ukazovateľ pre špecifický cieľ č. 7.</w:t>
      </w:r>
      <w:r>
        <w:rPr>
          <w:rStyle w:val="Zvraznenie"/>
          <w:sz w:val="16"/>
          <w:szCs w:val="16"/>
        </w:rPr>
        <w:t>6</w:t>
      </w:r>
      <w:r w:rsidRPr="008975D9">
        <w:rPr>
          <w:rStyle w:val="Zvraznenie"/>
          <w:sz w:val="16"/>
          <w:szCs w:val="16"/>
        </w:rPr>
        <w:t>.</w:t>
      </w:r>
    </w:p>
    <w:p w14:paraId="2BB13E89" w14:textId="77777777" w:rsidR="00D86668" w:rsidRPr="008975D9" w:rsidRDefault="00D86668" w:rsidP="00D86668">
      <w:pPr>
        <w:rPr>
          <w:rStyle w:val="Zvraznenie"/>
          <w:sz w:val="16"/>
          <w:szCs w:val="16"/>
        </w:rPr>
      </w:pPr>
    </w:p>
    <w:tbl>
      <w:tblPr>
        <w:tblW w:w="1473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699"/>
        <w:gridCol w:w="1276"/>
        <w:gridCol w:w="992"/>
        <w:gridCol w:w="992"/>
        <w:gridCol w:w="1134"/>
        <w:gridCol w:w="1102"/>
        <w:gridCol w:w="988"/>
        <w:gridCol w:w="1052"/>
        <w:gridCol w:w="1053"/>
        <w:gridCol w:w="5444"/>
      </w:tblGrid>
      <w:tr w:rsidR="00D86668" w:rsidRPr="008975D9" w14:paraId="2CEC2031" w14:textId="77777777" w:rsidTr="00C11675">
        <w:tc>
          <w:tcPr>
            <w:tcW w:w="699"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9B8DCE5" w14:textId="77777777" w:rsidR="00D86668" w:rsidRPr="008975D9" w:rsidRDefault="00D86668" w:rsidP="00C11675">
            <w:pPr>
              <w:jc w:val="center"/>
              <w:rPr>
                <w:b/>
                <w:bCs/>
                <w:sz w:val="16"/>
                <w:szCs w:val="16"/>
              </w:rPr>
            </w:pPr>
            <w:r w:rsidRPr="008975D9">
              <w:rPr>
                <w:b/>
                <w:bCs/>
                <w:sz w:val="16"/>
                <w:szCs w:val="16"/>
              </w:rPr>
              <w:t>ID</w:t>
            </w:r>
          </w:p>
        </w:tc>
        <w:tc>
          <w:tcPr>
            <w:tcW w:w="1276"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3FF0FD6" w14:textId="77777777" w:rsidR="00D86668" w:rsidRPr="008975D9" w:rsidRDefault="00D86668" w:rsidP="00C11675">
            <w:pPr>
              <w:jc w:val="center"/>
              <w:rPr>
                <w:b/>
                <w:bCs/>
                <w:sz w:val="16"/>
                <w:szCs w:val="16"/>
              </w:rPr>
            </w:pPr>
            <w:r w:rsidRPr="008975D9">
              <w:rPr>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B0F6BFD" w14:textId="77777777" w:rsidR="00D86668" w:rsidRPr="008975D9" w:rsidRDefault="00D86668" w:rsidP="00C11675">
            <w:pPr>
              <w:jc w:val="center"/>
              <w:rPr>
                <w:b/>
                <w:bCs/>
                <w:sz w:val="16"/>
                <w:szCs w:val="16"/>
              </w:rPr>
            </w:pPr>
            <w:r w:rsidRPr="008975D9">
              <w:rPr>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9AED4A7" w14:textId="77777777" w:rsidR="00D86668" w:rsidRPr="008975D9" w:rsidRDefault="00D86668" w:rsidP="00C11675">
            <w:pPr>
              <w:jc w:val="center"/>
              <w:rPr>
                <w:b/>
                <w:bCs/>
                <w:sz w:val="16"/>
                <w:szCs w:val="16"/>
              </w:rPr>
            </w:pPr>
            <w:r w:rsidRPr="008975D9">
              <w:rPr>
                <w:b/>
                <w:bCs/>
                <w:sz w:val="16"/>
                <w:szCs w:val="16"/>
              </w:rPr>
              <w:t>Kategória regiónu</w:t>
            </w:r>
          </w:p>
        </w:tc>
        <w:tc>
          <w:tcPr>
            <w:tcW w:w="1134"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6320DB5D" w14:textId="77777777" w:rsidR="00D86668" w:rsidRPr="008975D9" w:rsidRDefault="00D86668" w:rsidP="00C11675">
            <w:pPr>
              <w:jc w:val="center"/>
              <w:rPr>
                <w:b/>
                <w:bCs/>
                <w:sz w:val="16"/>
                <w:szCs w:val="16"/>
              </w:rPr>
            </w:pPr>
            <w:r w:rsidRPr="008975D9">
              <w:rPr>
                <w:b/>
                <w:bCs/>
                <w:sz w:val="16"/>
                <w:szCs w:val="16"/>
              </w:rPr>
              <w:t>Východisková hodnota</w:t>
            </w:r>
          </w:p>
        </w:tc>
        <w:tc>
          <w:tcPr>
            <w:tcW w:w="110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E8C70AC" w14:textId="77777777" w:rsidR="00D86668" w:rsidRPr="008975D9" w:rsidRDefault="00D86668" w:rsidP="00C11675">
            <w:pPr>
              <w:jc w:val="center"/>
              <w:rPr>
                <w:b/>
                <w:bCs/>
                <w:sz w:val="16"/>
                <w:szCs w:val="16"/>
              </w:rPr>
            </w:pPr>
            <w:r w:rsidRPr="008975D9">
              <w:rPr>
                <w:b/>
                <w:bCs/>
                <w:sz w:val="16"/>
                <w:szCs w:val="16"/>
              </w:rPr>
              <w:t>Východiskový rok</w:t>
            </w:r>
          </w:p>
        </w:tc>
        <w:tc>
          <w:tcPr>
            <w:tcW w:w="988"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6CCB7A48" w14:textId="77777777" w:rsidR="00D86668" w:rsidRPr="008975D9" w:rsidRDefault="00D86668" w:rsidP="00C11675">
            <w:pPr>
              <w:jc w:val="center"/>
              <w:rPr>
                <w:b/>
                <w:bCs/>
                <w:sz w:val="16"/>
                <w:szCs w:val="16"/>
              </w:rPr>
            </w:pPr>
            <w:r w:rsidRPr="008975D9">
              <w:rPr>
                <w:b/>
                <w:bCs/>
                <w:sz w:val="16"/>
                <w:szCs w:val="16"/>
              </w:rPr>
              <w:t>Cieľová hodnota (2023)</w:t>
            </w:r>
          </w:p>
        </w:tc>
        <w:tc>
          <w:tcPr>
            <w:tcW w:w="105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51F097A" w14:textId="77777777" w:rsidR="00D86668" w:rsidRPr="008975D9" w:rsidRDefault="00D86668" w:rsidP="00C11675">
            <w:pPr>
              <w:jc w:val="center"/>
              <w:rPr>
                <w:b/>
                <w:bCs/>
                <w:sz w:val="16"/>
                <w:szCs w:val="16"/>
              </w:rPr>
            </w:pPr>
            <w:r w:rsidRPr="008975D9">
              <w:rPr>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22BB67C3" w14:textId="77777777" w:rsidR="00D86668" w:rsidRPr="008975D9" w:rsidRDefault="00D86668" w:rsidP="00C11675">
            <w:pPr>
              <w:jc w:val="center"/>
              <w:rPr>
                <w:b/>
                <w:bCs/>
                <w:sz w:val="16"/>
                <w:szCs w:val="16"/>
              </w:rPr>
            </w:pPr>
            <w:r w:rsidRPr="008975D9">
              <w:rPr>
                <w:b/>
                <w:bCs/>
                <w:sz w:val="16"/>
                <w:szCs w:val="16"/>
              </w:rPr>
              <w:t>Frekvencia sledovania</w:t>
            </w:r>
          </w:p>
        </w:tc>
        <w:tc>
          <w:tcPr>
            <w:tcW w:w="5444" w:type="dxa"/>
            <w:tcBorders>
              <w:top w:val="single" w:sz="8" w:space="0" w:color="4E67C8"/>
              <w:left w:val="single" w:sz="8" w:space="0" w:color="4E67C8"/>
              <w:bottom w:val="single" w:sz="18" w:space="0" w:color="4E67C8"/>
              <w:right w:val="single" w:sz="8" w:space="0" w:color="4E67C8"/>
            </w:tcBorders>
          </w:tcPr>
          <w:p w14:paraId="0A886089"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1FB3C7FC"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99BC905" w14:textId="77777777" w:rsidR="00D86668" w:rsidRPr="008975D9" w:rsidRDefault="00D86668" w:rsidP="00C11675">
            <w:pPr>
              <w:jc w:val="center"/>
              <w:rPr>
                <w:bCs/>
                <w:sz w:val="16"/>
                <w:szCs w:val="16"/>
              </w:rPr>
            </w:pPr>
            <w:r w:rsidRPr="007304B6">
              <w:rPr>
                <w:bCs/>
                <w:sz w:val="16"/>
                <w:szCs w:val="16"/>
              </w:rPr>
              <w:t>R0209</w:t>
            </w:r>
          </w:p>
        </w:tc>
        <w:tc>
          <w:tcPr>
            <w:tcW w:w="127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87BC11F" w14:textId="77777777" w:rsidR="00D86668" w:rsidRPr="008975D9" w:rsidRDefault="00D86668" w:rsidP="00C11675">
            <w:pPr>
              <w:rPr>
                <w:sz w:val="16"/>
                <w:szCs w:val="16"/>
              </w:rPr>
            </w:pPr>
            <w:r w:rsidRPr="007304B6">
              <w:rPr>
                <w:sz w:val="16"/>
                <w:szCs w:val="16"/>
              </w:rPr>
              <w:t>Počet vypracovaných projektových dokumentácii</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EACA949" w14:textId="77777777" w:rsidR="00D86668" w:rsidRPr="008975D9" w:rsidRDefault="00D86668" w:rsidP="00C11675">
            <w:pPr>
              <w:rPr>
                <w:sz w:val="16"/>
                <w:szCs w:val="16"/>
              </w:rPr>
            </w:pPr>
            <w:r w:rsidRPr="008975D9">
              <w:rPr>
                <w:sz w:val="16"/>
                <w:szCs w:val="16"/>
              </w:rPr>
              <w:t>počet</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0E74C5A" w14:textId="77777777" w:rsidR="00D86668" w:rsidRPr="008975D9" w:rsidRDefault="00D86668" w:rsidP="00C11675">
            <w:pPr>
              <w:jc w:val="center"/>
              <w:rPr>
                <w:sz w:val="16"/>
                <w:szCs w:val="16"/>
              </w:rPr>
            </w:pPr>
            <w:r>
              <w:rPr>
                <w:sz w:val="16"/>
                <w:szCs w:val="16"/>
              </w:rPr>
              <w:t>N/A</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4691C31" w14:textId="77777777" w:rsidR="00D86668" w:rsidRPr="008975D9" w:rsidRDefault="00D86668" w:rsidP="00C11675">
            <w:pPr>
              <w:jc w:val="center"/>
              <w:rPr>
                <w:sz w:val="16"/>
                <w:szCs w:val="16"/>
              </w:rPr>
            </w:pPr>
            <w:r w:rsidRPr="008975D9">
              <w:rPr>
                <w:sz w:val="16"/>
                <w:szCs w:val="16"/>
              </w:rPr>
              <w:t>0</w:t>
            </w:r>
          </w:p>
        </w:tc>
        <w:tc>
          <w:tcPr>
            <w:tcW w:w="110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7F6B7B9C" w14:textId="77777777" w:rsidR="00D86668" w:rsidRPr="008975D9" w:rsidRDefault="00D86668" w:rsidP="00C11675">
            <w:pPr>
              <w:jc w:val="center"/>
              <w:rPr>
                <w:sz w:val="16"/>
                <w:szCs w:val="16"/>
              </w:rPr>
            </w:pPr>
            <w:r>
              <w:rPr>
                <w:sz w:val="16"/>
                <w:szCs w:val="16"/>
              </w:rPr>
              <w:t>2020</w:t>
            </w:r>
          </w:p>
        </w:tc>
        <w:tc>
          <w:tcPr>
            <w:tcW w:w="988" w:type="dxa"/>
            <w:tcBorders>
              <w:top w:val="single" w:sz="8" w:space="0" w:color="4E67C8"/>
              <w:left w:val="single" w:sz="8" w:space="0" w:color="4E67C8"/>
              <w:right w:val="single" w:sz="8" w:space="0" w:color="4E67C8"/>
            </w:tcBorders>
            <w:shd w:val="clear" w:color="auto" w:fill="auto"/>
            <w:vAlign w:val="center"/>
          </w:tcPr>
          <w:p w14:paraId="5971FA98" w14:textId="77777777" w:rsidR="00D86668" w:rsidRPr="008975D9" w:rsidRDefault="00D86668" w:rsidP="00C11675">
            <w:pPr>
              <w:jc w:val="center"/>
              <w:rPr>
                <w:sz w:val="16"/>
                <w:szCs w:val="16"/>
              </w:rPr>
            </w:pPr>
            <w:r>
              <w:rPr>
                <w:sz w:val="16"/>
                <w:szCs w:val="16"/>
              </w:rPr>
              <w:t>100</w:t>
            </w:r>
          </w:p>
        </w:tc>
        <w:tc>
          <w:tcPr>
            <w:tcW w:w="1052" w:type="dxa"/>
            <w:tcBorders>
              <w:top w:val="single" w:sz="8" w:space="0" w:color="4E67C8"/>
              <w:left w:val="single" w:sz="8" w:space="0" w:color="4E67C8"/>
              <w:right w:val="single" w:sz="8" w:space="0" w:color="4E67C8"/>
            </w:tcBorders>
            <w:shd w:val="clear" w:color="auto" w:fill="auto"/>
            <w:vAlign w:val="center"/>
          </w:tcPr>
          <w:p w14:paraId="04A77ADB" w14:textId="77777777" w:rsidR="00D86668" w:rsidRPr="008975D9" w:rsidRDefault="00D86668" w:rsidP="00C11675">
            <w:pPr>
              <w:jc w:val="center"/>
              <w:rPr>
                <w:sz w:val="16"/>
                <w:szCs w:val="16"/>
              </w:rPr>
            </w:pPr>
            <w:r w:rsidRPr="008975D9">
              <w:rPr>
                <w:sz w:val="16"/>
                <w:szCs w:val="16"/>
              </w:rPr>
              <w:t>ITMS</w:t>
            </w:r>
          </w:p>
        </w:tc>
        <w:tc>
          <w:tcPr>
            <w:tcW w:w="1053"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820CAAC" w14:textId="77777777" w:rsidR="00D86668" w:rsidRPr="008975D9" w:rsidRDefault="00D86668" w:rsidP="00C11675">
            <w:pPr>
              <w:jc w:val="center"/>
              <w:rPr>
                <w:sz w:val="16"/>
                <w:szCs w:val="16"/>
              </w:rPr>
            </w:pPr>
            <w:r w:rsidRPr="008975D9">
              <w:rPr>
                <w:sz w:val="16"/>
                <w:szCs w:val="16"/>
              </w:rPr>
              <w:t>ročne</w:t>
            </w:r>
          </w:p>
        </w:tc>
        <w:tc>
          <w:tcPr>
            <w:tcW w:w="5444" w:type="dxa"/>
            <w:tcBorders>
              <w:top w:val="single" w:sz="8" w:space="0" w:color="4E67C8"/>
              <w:left w:val="single" w:sz="8" w:space="0" w:color="4E67C8"/>
              <w:bottom w:val="single" w:sz="8" w:space="0" w:color="4E67C8"/>
              <w:right w:val="single" w:sz="8" w:space="0" w:color="4E67C8"/>
            </w:tcBorders>
          </w:tcPr>
          <w:p w14:paraId="0D0BFB49" w14:textId="77777777" w:rsidR="00D86668" w:rsidRPr="008975D9" w:rsidRDefault="00D86668" w:rsidP="00C11675">
            <w:pPr>
              <w:jc w:val="both"/>
              <w:rPr>
                <w:sz w:val="16"/>
                <w:szCs w:val="16"/>
              </w:rPr>
            </w:pPr>
            <w:r w:rsidRPr="007952F8">
              <w:rPr>
                <w:sz w:val="16"/>
                <w:szCs w:val="16"/>
              </w:rPr>
              <w:t>Úpravu cieľovej hodnoty ukazovateľa ovplyvnilo zníženie plánovanej alokácie na aktivity projektových dokumentácii. Hodnota bola vypočítaná v nadväznosti na aktuálny stav plánovaných výziev a odhadovaného dopytu v rámci daných výziev.</w:t>
            </w:r>
          </w:p>
        </w:tc>
      </w:tr>
    </w:tbl>
    <w:p w14:paraId="119DAC2A" w14:textId="77777777" w:rsidR="00D86668" w:rsidRDefault="00D86668" w:rsidP="00D86668">
      <w:pPr>
        <w:pStyle w:val="Odsekzoznamu"/>
        <w:spacing w:before="120" w:after="0" w:line="240" w:lineRule="auto"/>
        <w:ind w:left="0"/>
        <w:jc w:val="both"/>
        <w:rPr>
          <w:rFonts w:ascii="Arial" w:hAnsi="Arial" w:cs="Arial"/>
          <w:b/>
          <w:i/>
          <w:sz w:val="16"/>
          <w:szCs w:val="16"/>
        </w:rPr>
      </w:pPr>
    </w:p>
    <w:p w14:paraId="68E284C6" w14:textId="77777777" w:rsidR="00D86668" w:rsidRPr="008975D9" w:rsidRDefault="00D86668" w:rsidP="00D86668">
      <w:pPr>
        <w:pStyle w:val="Odsekzoznamu"/>
        <w:spacing w:before="120" w:after="0" w:line="240" w:lineRule="auto"/>
        <w:ind w:left="0"/>
        <w:jc w:val="both"/>
        <w:rPr>
          <w:rFonts w:ascii="Arial" w:hAnsi="Arial" w:cs="Arial"/>
          <w:b/>
          <w:iCs/>
          <w:sz w:val="16"/>
          <w:szCs w:val="16"/>
        </w:rPr>
      </w:pPr>
      <w:r w:rsidRPr="008975D9">
        <w:rPr>
          <w:rFonts w:ascii="Arial" w:hAnsi="Arial" w:cs="Arial"/>
          <w:b/>
          <w:i/>
          <w:sz w:val="16"/>
          <w:szCs w:val="16"/>
        </w:rPr>
        <w:t xml:space="preserve">Špecifický cieľ č. 7.8: </w:t>
      </w:r>
      <w:r w:rsidRPr="008975D9">
        <w:rPr>
          <w:rFonts w:ascii="Arial" w:hAnsi="Arial" w:cs="Arial"/>
          <w:b/>
          <w:iCs/>
          <w:sz w:val="16"/>
          <w:szCs w:val="16"/>
        </w:rPr>
        <w:t>Zvýšenie energetickej efektívnosti bytových domov</w:t>
      </w:r>
    </w:p>
    <w:p w14:paraId="550C7EA3" w14:textId="77777777" w:rsidR="00D86668" w:rsidRPr="008975D9" w:rsidRDefault="00D86668" w:rsidP="00D86668">
      <w:pPr>
        <w:pStyle w:val="Odsekzoznamu"/>
        <w:spacing w:before="120" w:after="0" w:line="240" w:lineRule="auto"/>
        <w:ind w:left="0"/>
        <w:jc w:val="both"/>
        <w:rPr>
          <w:rFonts w:ascii="Arial" w:hAnsi="Arial" w:cs="Arial"/>
          <w:sz w:val="16"/>
          <w:szCs w:val="16"/>
        </w:rPr>
      </w:pPr>
    </w:p>
    <w:p w14:paraId="5B6323D5" w14:textId="77777777" w:rsidR="00D86668" w:rsidRPr="008975D9" w:rsidRDefault="00D86668" w:rsidP="00D86668">
      <w:pPr>
        <w:pStyle w:val="Odsekzoznamu"/>
        <w:spacing w:before="120" w:after="0" w:line="240" w:lineRule="auto"/>
        <w:ind w:left="0"/>
        <w:jc w:val="both"/>
        <w:rPr>
          <w:rStyle w:val="Zvraznenie"/>
          <w:rFonts w:ascii="Arial" w:hAnsi="Arial" w:cs="Arial"/>
          <w:sz w:val="16"/>
          <w:szCs w:val="16"/>
        </w:rPr>
      </w:pPr>
      <w:r w:rsidRPr="008975D9">
        <w:rPr>
          <w:rStyle w:val="Zvraznenie"/>
          <w:rFonts w:ascii="Arial" w:hAnsi="Arial" w:cs="Arial"/>
          <w:sz w:val="16"/>
          <w:szCs w:val="16"/>
        </w:rPr>
        <w:t>Výstupové ukazovatele pre špecifický cieľ č. 7.8.</w:t>
      </w:r>
    </w:p>
    <w:p w14:paraId="05627C72" w14:textId="77777777" w:rsidR="00D86668" w:rsidRPr="008975D9" w:rsidRDefault="00D86668" w:rsidP="00D86668">
      <w:pPr>
        <w:pStyle w:val="Odsekzoznamu"/>
        <w:spacing w:before="120" w:after="0" w:line="240" w:lineRule="auto"/>
        <w:ind w:left="0"/>
        <w:jc w:val="both"/>
        <w:rPr>
          <w:rFonts w:ascii="Arial" w:hAnsi="Arial" w:cs="Arial"/>
          <w:sz w:val="16"/>
          <w:szCs w:val="16"/>
        </w:rPr>
      </w:pPr>
    </w:p>
    <w:tbl>
      <w:tblPr>
        <w:tblW w:w="14449"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99"/>
        <w:gridCol w:w="1910"/>
        <w:gridCol w:w="992"/>
        <w:gridCol w:w="709"/>
        <w:gridCol w:w="1134"/>
        <w:gridCol w:w="567"/>
        <w:gridCol w:w="552"/>
        <w:gridCol w:w="1067"/>
        <w:gridCol w:w="15"/>
        <w:gridCol w:w="694"/>
        <w:gridCol w:w="15"/>
        <w:gridCol w:w="977"/>
        <w:gridCol w:w="15"/>
        <w:gridCol w:w="5103"/>
      </w:tblGrid>
      <w:tr w:rsidR="00D86668" w:rsidRPr="008975D9" w14:paraId="5D980223" w14:textId="77777777" w:rsidTr="00C11675">
        <w:trPr>
          <w:trHeight w:val="431"/>
        </w:trPr>
        <w:tc>
          <w:tcPr>
            <w:tcW w:w="699" w:type="dxa"/>
            <w:vMerge w:val="restart"/>
            <w:tcBorders>
              <w:top w:val="single" w:sz="8" w:space="0" w:color="4E67C8"/>
              <w:left w:val="single" w:sz="8" w:space="0" w:color="4E67C8"/>
              <w:right w:val="single" w:sz="8" w:space="0" w:color="4E67C8"/>
            </w:tcBorders>
            <w:shd w:val="clear" w:color="auto" w:fill="auto"/>
            <w:vAlign w:val="center"/>
          </w:tcPr>
          <w:p w14:paraId="2E4CE1A1" w14:textId="77777777" w:rsidR="00D86668" w:rsidRPr="008975D9" w:rsidRDefault="00D86668" w:rsidP="00C11675">
            <w:pPr>
              <w:jc w:val="center"/>
              <w:rPr>
                <w:b/>
                <w:bCs/>
                <w:sz w:val="16"/>
                <w:szCs w:val="16"/>
              </w:rPr>
            </w:pPr>
            <w:r w:rsidRPr="008975D9">
              <w:rPr>
                <w:b/>
                <w:bCs/>
                <w:sz w:val="16"/>
                <w:szCs w:val="16"/>
              </w:rPr>
              <w:t>ID</w:t>
            </w:r>
          </w:p>
        </w:tc>
        <w:tc>
          <w:tcPr>
            <w:tcW w:w="1910" w:type="dxa"/>
            <w:vMerge w:val="restart"/>
            <w:tcBorders>
              <w:top w:val="single" w:sz="8" w:space="0" w:color="4E67C8"/>
              <w:left w:val="single" w:sz="8" w:space="0" w:color="4E67C8"/>
              <w:right w:val="single" w:sz="8" w:space="0" w:color="4E67C8"/>
            </w:tcBorders>
            <w:shd w:val="clear" w:color="auto" w:fill="auto"/>
            <w:vAlign w:val="center"/>
          </w:tcPr>
          <w:p w14:paraId="5678AA83" w14:textId="77777777" w:rsidR="00D86668" w:rsidRPr="008975D9" w:rsidRDefault="00D86668" w:rsidP="00C11675">
            <w:pPr>
              <w:jc w:val="center"/>
              <w:rPr>
                <w:b/>
                <w:bCs/>
                <w:sz w:val="16"/>
                <w:szCs w:val="16"/>
              </w:rPr>
            </w:pPr>
            <w:r w:rsidRPr="008975D9">
              <w:rPr>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vAlign w:val="center"/>
          </w:tcPr>
          <w:p w14:paraId="6E32594D" w14:textId="77777777" w:rsidR="00D86668" w:rsidRPr="008975D9" w:rsidRDefault="00D86668" w:rsidP="00C11675">
            <w:pPr>
              <w:jc w:val="center"/>
              <w:rPr>
                <w:b/>
                <w:bCs/>
                <w:sz w:val="16"/>
                <w:szCs w:val="16"/>
              </w:rPr>
            </w:pPr>
            <w:r w:rsidRPr="008975D9">
              <w:rPr>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1C98C687" w14:textId="77777777" w:rsidR="00D86668" w:rsidRPr="008975D9" w:rsidRDefault="00D86668" w:rsidP="00C11675">
            <w:pPr>
              <w:jc w:val="center"/>
              <w:rPr>
                <w:b/>
                <w:bCs/>
                <w:sz w:val="16"/>
                <w:szCs w:val="16"/>
              </w:rPr>
            </w:pPr>
            <w:r w:rsidRPr="008975D9">
              <w:rPr>
                <w:b/>
                <w:bCs/>
                <w:sz w:val="16"/>
                <w:szCs w:val="16"/>
              </w:rPr>
              <w:t>Fond</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2C04DDB8" w14:textId="77777777" w:rsidR="00D86668" w:rsidRPr="008975D9" w:rsidRDefault="00D86668" w:rsidP="00C11675">
            <w:pPr>
              <w:jc w:val="center"/>
              <w:rPr>
                <w:b/>
                <w:bCs/>
                <w:sz w:val="16"/>
                <w:szCs w:val="16"/>
              </w:rPr>
            </w:pPr>
            <w:r w:rsidRPr="008975D9">
              <w:rPr>
                <w:b/>
                <w:bCs/>
                <w:sz w:val="16"/>
                <w:szCs w:val="16"/>
              </w:rPr>
              <w:t>Kategória regiónu</w:t>
            </w:r>
          </w:p>
        </w:tc>
        <w:tc>
          <w:tcPr>
            <w:tcW w:w="2201" w:type="dxa"/>
            <w:gridSpan w:val="4"/>
            <w:tcBorders>
              <w:top w:val="single" w:sz="8" w:space="0" w:color="4E67C8"/>
              <w:left w:val="single" w:sz="8" w:space="0" w:color="4E67C8"/>
              <w:bottom w:val="single" w:sz="18" w:space="0" w:color="4E67C8"/>
              <w:right w:val="single" w:sz="8" w:space="0" w:color="4E67C8"/>
            </w:tcBorders>
            <w:shd w:val="clear" w:color="auto" w:fill="auto"/>
            <w:vAlign w:val="center"/>
          </w:tcPr>
          <w:p w14:paraId="51BAA9EB" w14:textId="77777777" w:rsidR="00D86668" w:rsidRPr="008975D9" w:rsidRDefault="00D86668" w:rsidP="00C11675">
            <w:pPr>
              <w:jc w:val="center"/>
              <w:rPr>
                <w:b/>
                <w:bCs/>
                <w:sz w:val="16"/>
                <w:szCs w:val="16"/>
              </w:rPr>
            </w:pPr>
            <w:r w:rsidRPr="008975D9">
              <w:rPr>
                <w:b/>
                <w:bCs/>
                <w:sz w:val="16"/>
                <w:szCs w:val="16"/>
              </w:rPr>
              <w:t>Cieľová hodnota (2022)</w:t>
            </w:r>
          </w:p>
        </w:tc>
        <w:tc>
          <w:tcPr>
            <w:tcW w:w="709" w:type="dxa"/>
            <w:gridSpan w:val="2"/>
            <w:tcBorders>
              <w:top w:val="single" w:sz="8" w:space="0" w:color="4E67C8"/>
              <w:left w:val="single" w:sz="8" w:space="0" w:color="4E67C8"/>
              <w:right w:val="single" w:sz="8" w:space="0" w:color="4E67C8"/>
            </w:tcBorders>
            <w:shd w:val="clear" w:color="auto" w:fill="auto"/>
            <w:vAlign w:val="center"/>
          </w:tcPr>
          <w:p w14:paraId="0115808E" w14:textId="77777777" w:rsidR="00D86668" w:rsidRPr="008975D9" w:rsidRDefault="00D86668" w:rsidP="00C11675">
            <w:pPr>
              <w:jc w:val="center"/>
              <w:rPr>
                <w:b/>
                <w:bCs/>
                <w:sz w:val="16"/>
                <w:szCs w:val="16"/>
              </w:rPr>
            </w:pPr>
            <w:r w:rsidRPr="008975D9">
              <w:rPr>
                <w:b/>
                <w:bCs/>
                <w:sz w:val="16"/>
                <w:szCs w:val="16"/>
              </w:rPr>
              <w:t>Zdroj dát</w:t>
            </w:r>
          </w:p>
        </w:tc>
        <w:tc>
          <w:tcPr>
            <w:tcW w:w="992" w:type="dxa"/>
            <w:gridSpan w:val="2"/>
            <w:tcBorders>
              <w:top w:val="single" w:sz="8" w:space="0" w:color="4E67C8"/>
              <w:left w:val="single" w:sz="8" w:space="0" w:color="4E67C8"/>
              <w:right w:val="single" w:sz="8" w:space="0" w:color="4E67C8"/>
            </w:tcBorders>
            <w:vAlign w:val="center"/>
          </w:tcPr>
          <w:p w14:paraId="30F17571" w14:textId="77777777" w:rsidR="00D86668" w:rsidRPr="008975D9" w:rsidRDefault="00D86668" w:rsidP="00C11675">
            <w:pPr>
              <w:jc w:val="center"/>
              <w:rPr>
                <w:b/>
                <w:bCs/>
                <w:sz w:val="16"/>
                <w:szCs w:val="16"/>
              </w:rPr>
            </w:pPr>
            <w:r w:rsidRPr="008975D9">
              <w:rPr>
                <w:b/>
                <w:bCs/>
                <w:sz w:val="16"/>
                <w:szCs w:val="16"/>
              </w:rPr>
              <w:t>Frekvencia podávania správ</w:t>
            </w:r>
          </w:p>
        </w:tc>
        <w:tc>
          <w:tcPr>
            <w:tcW w:w="5103" w:type="dxa"/>
            <w:tcBorders>
              <w:top w:val="single" w:sz="8" w:space="0" w:color="4E67C8"/>
              <w:left w:val="single" w:sz="8" w:space="0" w:color="4E67C8"/>
              <w:right w:val="single" w:sz="8" w:space="0" w:color="4E67C8"/>
            </w:tcBorders>
          </w:tcPr>
          <w:p w14:paraId="3A335030" w14:textId="77777777" w:rsidR="00D86668" w:rsidRPr="008975D9" w:rsidRDefault="00D86668" w:rsidP="00C11675">
            <w:pPr>
              <w:jc w:val="center"/>
              <w:rPr>
                <w:b/>
                <w:bCs/>
                <w:sz w:val="16"/>
                <w:szCs w:val="16"/>
              </w:rPr>
            </w:pPr>
            <w:r w:rsidRPr="008975D9">
              <w:rPr>
                <w:b/>
                <w:bCs/>
                <w:sz w:val="16"/>
                <w:szCs w:val="16"/>
              </w:rPr>
              <w:t xml:space="preserve">Zdôvodnenie </w:t>
            </w:r>
          </w:p>
        </w:tc>
      </w:tr>
      <w:tr w:rsidR="00D86668" w:rsidRPr="008975D9" w14:paraId="40AC6508" w14:textId="77777777" w:rsidTr="00C11675">
        <w:trPr>
          <w:trHeight w:val="397"/>
        </w:trPr>
        <w:tc>
          <w:tcPr>
            <w:tcW w:w="699" w:type="dxa"/>
            <w:vMerge/>
            <w:tcBorders>
              <w:left w:val="single" w:sz="8" w:space="0" w:color="4E67C8"/>
              <w:bottom w:val="single" w:sz="18" w:space="0" w:color="4E67C8"/>
              <w:right w:val="single" w:sz="8" w:space="0" w:color="4E67C8"/>
            </w:tcBorders>
            <w:shd w:val="clear" w:color="auto" w:fill="auto"/>
          </w:tcPr>
          <w:p w14:paraId="2B96DFD1" w14:textId="77777777" w:rsidR="00D86668" w:rsidRPr="008975D9" w:rsidRDefault="00D86668" w:rsidP="00C11675">
            <w:pPr>
              <w:rPr>
                <w:bCs/>
                <w:sz w:val="16"/>
                <w:szCs w:val="16"/>
              </w:rPr>
            </w:pPr>
          </w:p>
        </w:tc>
        <w:tc>
          <w:tcPr>
            <w:tcW w:w="1910" w:type="dxa"/>
            <w:vMerge/>
            <w:tcBorders>
              <w:left w:val="single" w:sz="8" w:space="0" w:color="4E67C8"/>
              <w:bottom w:val="single" w:sz="18" w:space="0" w:color="4E67C8"/>
              <w:right w:val="single" w:sz="8" w:space="0" w:color="4E67C8"/>
            </w:tcBorders>
            <w:shd w:val="clear" w:color="auto" w:fill="auto"/>
          </w:tcPr>
          <w:p w14:paraId="56152C5E" w14:textId="77777777" w:rsidR="00D86668" w:rsidRPr="008975D9" w:rsidRDefault="00D86668" w:rsidP="00C11675">
            <w:pPr>
              <w:rPr>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14:paraId="0553EB04" w14:textId="77777777" w:rsidR="00D86668" w:rsidRPr="008975D9" w:rsidRDefault="00D86668" w:rsidP="00C11675">
            <w:pPr>
              <w:rPr>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7F6BBC42" w14:textId="77777777" w:rsidR="00D86668" w:rsidRPr="008975D9" w:rsidRDefault="00D86668" w:rsidP="00C11675">
            <w:pPr>
              <w:rPr>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63223EF0" w14:textId="77777777" w:rsidR="00D86668" w:rsidRPr="008975D9" w:rsidRDefault="00D86668" w:rsidP="00C11675">
            <w:pPr>
              <w:rPr>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33D56CE8" w14:textId="77777777" w:rsidR="00D86668" w:rsidRPr="008975D9" w:rsidRDefault="00D86668" w:rsidP="00C11675">
            <w:pPr>
              <w:jc w:val="center"/>
              <w:rPr>
                <w:b/>
                <w:bCs/>
                <w:sz w:val="16"/>
                <w:szCs w:val="16"/>
              </w:rPr>
            </w:pPr>
            <w:r w:rsidRPr="008975D9">
              <w:rPr>
                <w:b/>
                <w:bCs/>
                <w:sz w:val="16"/>
                <w:szCs w:val="16"/>
              </w:rPr>
              <w:t>M</w:t>
            </w:r>
          </w:p>
        </w:tc>
        <w:tc>
          <w:tcPr>
            <w:tcW w:w="552"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1DBFD374" w14:textId="77777777" w:rsidR="00D86668" w:rsidRPr="008975D9" w:rsidRDefault="00D86668" w:rsidP="00C11675">
            <w:pPr>
              <w:jc w:val="center"/>
              <w:rPr>
                <w:b/>
                <w:bCs/>
                <w:sz w:val="16"/>
                <w:szCs w:val="16"/>
              </w:rPr>
            </w:pPr>
            <w:r w:rsidRPr="008975D9">
              <w:rPr>
                <w:b/>
                <w:bCs/>
                <w:sz w:val="16"/>
                <w:szCs w:val="16"/>
              </w:rPr>
              <w:t>Ž</w:t>
            </w:r>
          </w:p>
        </w:tc>
        <w:tc>
          <w:tcPr>
            <w:tcW w:w="10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631FD471" w14:textId="77777777" w:rsidR="00D86668" w:rsidRPr="008975D9" w:rsidRDefault="00D86668" w:rsidP="00C11675">
            <w:pPr>
              <w:jc w:val="center"/>
              <w:rPr>
                <w:b/>
                <w:bCs/>
                <w:sz w:val="16"/>
                <w:szCs w:val="16"/>
              </w:rPr>
            </w:pPr>
            <w:r w:rsidRPr="008975D9">
              <w:rPr>
                <w:b/>
                <w:bCs/>
                <w:sz w:val="16"/>
                <w:szCs w:val="16"/>
              </w:rPr>
              <w:t>M+Ž</w:t>
            </w:r>
          </w:p>
        </w:tc>
        <w:tc>
          <w:tcPr>
            <w:tcW w:w="709" w:type="dxa"/>
            <w:gridSpan w:val="2"/>
            <w:tcBorders>
              <w:left w:val="single" w:sz="8" w:space="0" w:color="4E67C8"/>
              <w:bottom w:val="single" w:sz="18" w:space="0" w:color="4E67C8"/>
              <w:right w:val="single" w:sz="8" w:space="0" w:color="4E67C8"/>
            </w:tcBorders>
            <w:shd w:val="clear" w:color="auto" w:fill="auto"/>
          </w:tcPr>
          <w:p w14:paraId="5725E1F2" w14:textId="77777777" w:rsidR="00D86668" w:rsidRPr="008975D9" w:rsidRDefault="00D86668" w:rsidP="00C11675">
            <w:pPr>
              <w:rPr>
                <w:b/>
                <w:bCs/>
                <w:sz w:val="16"/>
                <w:szCs w:val="16"/>
              </w:rPr>
            </w:pPr>
          </w:p>
        </w:tc>
        <w:tc>
          <w:tcPr>
            <w:tcW w:w="992" w:type="dxa"/>
            <w:gridSpan w:val="2"/>
            <w:tcBorders>
              <w:left w:val="single" w:sz="8" w:space="0" w:color="4E67C8"/>
              <w:bottom w:val="single" w:sz="18" w:space="0" w:color="4E67C8"/>
              <w:right w:val="single" w:sz="8" w:space="0" w:color="4E67C8"/>
            </w:tcBorders>
          </w:tcPr>
          <w:p w14:paraId="6359D428" w14:textId="77777777" w:rsidR="00D86668" w:rsidRPr="008975D9" w:rsidRDefault="00D86668" w:rsidP="00C11675">
            <w:pPr>
              <w:rPr>
                <w:b/>
                <w:bCs/>
                <w:sz w:val="16"/>
                <w:szCs w:val="16"/>
              </w:rPr>
            </w:pPr>
          </w:p>
        </w:tc>
        <w:tc>
          <w:tcPr>
            <w:tcW w:w="5118" w:type="dxa"/>
            <w:gridSpan w:val="2"/>
            <w:tcBorders>
              <w:left w:val="single" w:sz="8" w:space="0" w:color="4E67C8"/>
              <w:bottom w:val="single" w:sz="18" w:space="0" w:color="4E67C8"/>
              <w:right w:val="single" w:sz="8" w:space="0" w:color="4E67C8"/>
            </w:tcBorders>
          </w:tcPr>
          <w:p w14:paraId="082CFB2B" w14:textId="77777777" w:rsidR="00D86668" w:rsidRPr="008975D9" w:rsidRDefault="00D86668" w:rsidP="00C11675">
            <w:pPr>
              <w:rPr>
                <w:b/>
                <w:bCs/>
                <w:sz w:val="16"/>
                <w:szCs w:val="16"/>
              </w:rPr>
            </w:pPr>
          </w:p>
        </w:tc>
      </w:tr>
      <w:tr w:rsidR="00D86668" w:rsidRPr="008975D9" w14:paraId="32EBEAF3"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0ACB787" w14:textId="77777777" w:rsidR="00D86668" w:rsidRPr="008975D9" w:rsidRDefault="00D86668" w:rsidP="00C11675">
            <w:pPr>
              <w:rPr>
                <w:bCs/>
                <w:sz w:val="16"/>
                <w:szCs w:val="16"/>
              </w:rPr>
            </w:pPr>
            <w:r w:rsidRPr="008975D9">
              <w:rPr>
                <w:bCs/>
                <w:sz w:val="16"/>
                <w:szCs w:val="16"/>
              </w:rPr>
              <w:t>C031</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D0984CA" w14:textId="77777777" w:rsidR="00D86668" w:rsidRPr="008975D9" w:rsidRDefault="00D86668" w:rsidP="00C11675">
            <w:pPr>
              <w:rPr>
                <w:sz w:val="16"/>
                <w:szCs w:val="16"/>
              </w:rPr>
            </w:pPr>
            <w:r w:rsidRPr="008975D9">
              <w:rPr>
                <w:sz w:val="16"/>
                <w:szCs w:val="16"/>
              </w:rPr>
              <w:t xml:space="preserve">Počet domácností </w:t>
            </w:r>
            <w:r w:rsidRPr="008975D9">
              <w:rPr>
                <w:sz w:val="16"/>
                <w:szCs w:val="16"/>
              </w:rPr>
              <w:lastRenderedPageBreak/>
              <w:t>zaradených do zlepšenej energetickej triedy</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3835EA" w14:textId="77777777" w:rsidR="00D86668" w:rsidRPr="008975D9" w:rsidRDefault="00D86668" w:rsidP="00C11675">
            <w:pPr>
              <w:jc w:val="center"/>
              <w:rPr>
                <w:sz w:val="16"/>
                <w:szCs w:val="16"/>
              </w:rPr>
            </w:pPr>
            <w:r w:rsidRPr="008975D9">
              <w:rPr>
                <w:sz w:val="16"/>
                <w:szCs w:val="16"/>
              </w:rPr>
              <w:lastRenderedPageBreak/>
              <w:t>počet</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47927A8"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6F2FCBF"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2D70561" w14:textId="77777777" w:rsidR="00D86668" w:rsidRPr="008975D9" w:rsidRDefault="00D86668" w:rsidP="00C11675">
            <w:pPr>
              <w:jc w:val="center"/>
              <w:rPr>
                <w:sz w:val="16"/>
                <w:szCs w:val="16"/>
              </w:rPr>
            </w:pPr>
            <w:r w:rsidRPr="008975D9">
              <w:rPr>
                <w:sz w:val="16"/>
                <w:szCs w:val="16"/>
              </w:rPr>
              <w:t>N/A</w:t>
            </w:r>
          </w:p>
        </w:tc>
        <w:tc>
          <w:tcPr>
            <w:tcW w:w="55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DF6137C" w14:textId="77777777" w:rsidR="00D86668" w:rsidRPr="008975D9" w:rsidRDefault="00D86668" w:rsidP="00C11675">
            <w:pPr>
              <w:jc w:val="center"/>
              <w:rPr>
                <w:sz w:val="16"/>
                <w:szCs w:val="16"/>
              </w:rPr>
            </w:pPr>
            <w:r w:rsidRPr="008975D9">
              <w:rPr>
                <w:sz w:val="16"/>
                <w:szCs w:val="16"/>
              </w:rPr>
              <w:t>N/A</w:t>
            </w:r>
          </w:p>
        </w:tc>
        <w:tc>
          <w:tcPr>
            <w:tcW w:w="10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4564D31" w14:textId="77777777" w:rsidR="00D86668" w:rsidRPr="008975D9" w:rsidRDefault="00D86668" w:rsidP="00C11675">
            <w:pPr>
              <w:jc w:val="center"/>
              <w:rPr>
                <w:sz w:val="16"/>
                <w:szCs w:val="16"/>
              </w:rPr>
            </w:pPr>
            <w:r>
              <w:rPr>
                <w:sz w:val="16"/>
                <w:szCs w:val="16"/>
              </w:rPr>
              <w:t> 4 431</w:t>
            </w:r>
          </w:p>
        </w:tc>
        <w:tc>
          <w:tcPr>
            <w:tcW w:w="709"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0DDC4624" w14:textId="77777777" w:rsidR="00D86668" w:rsidRPr="008975D9" w:rsidRDefault="00D86668" w:rsidP="00C11675">
            <w:pPr>
              <w:jc w:val="center"/>
              <w:rPr>
                <w:sz w:val="16"/>
                <w:szCs w:val="16"/>
              </w:rPr>
            </w:pPr>
            <w:r w:rsidRPr="008975D9">
              <w:rPr>
                <w:sz w:val="16"/>
                <w:szCs w:val="16"/>
              </w:rPr>
              <w:t>ŠFRB/</w:t>
            </w:r>
          </w:p>
          <w:p w14:paraId="567B97C9" w14:textId="77777777" w:rsidR="00D86668" w:rsidRPr="008975D9" w:rsidRDefault="00D86668" w:rsidP="00C11675">
            <w:pPr>
              <w:jc w:val="center"/>
              <w:rPr>
                <w:sz w:val="16"/>
                <w:szCs w:val="16"/>
              </w:rPr>
            </w:pPr>
            <w:r w:rsidRPr="008975D9">
              <w:rPr>
                <w:sz w:val="16"/>
                <w:szCs w:val="16"/>
              </w:rPr>
              <w:lastRenderedPageBreak/>
              <w:t>SIEA</w:t>
            </w:r>
          </w:p>
        </w:tc>
        <w:tc>
          <w:tcPr>
            <w:tcW w:w="992"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5E7AE983" w14:textId="77777777" w:rsidR="00D86668" w:rsidRPr="008975D9" w:rsidRDefault="00D86668" w:rsidP="00C11675">
            <w:pPr>
              <w:jc w:val="center"/>
              <w:rPr>
                <w:sz w:val="16"/>
                <w:szCs w:val="16"/>
              </w:rPr>
            </w:pPr>
            <w:r w:rsidRPr="008975D9">
              <w:rPr>
                <w:sz w:val="16"/>
                <w:szCs w:val="16"/>
              </w:rPr>
              <w:lastRenderedPageBreak/>
              <w:t>ročne</w:t>
            </w:r>
          </w:p>
        </w:tc>
        <w:tc>
          <w:tcPr>
            <w:tcW w:w="5118" w:type="dxa"/>
            <w:gridSpan w:val="2"/>
            <w:tcBorders>
              <w:top w:val="single" w:sz="8" w:space="0" w:color="4E67C8"/>
              <w:left w:val="single" w:sz="8" w:space="0" w:color="4E67C8"/>
              <w:bottom w:val="single" w:sz="8" w:space="0" w:color="4E67C8"/>
              <w:right w:val="single" w:sz="8" w:space="0" w:color="4E67C8"/>
            </w:tcBorders>
            <w:vAlign w:val="center"/>
          </w:tcPr>
          <w:p w14:paraId="2C5D2B38" w14:textId="77777777" w:rsidR="00D86668" w:rsidRPr="008975D9" w:rsidRDefault="00D86668" w:rsidP="00C11675">
            <w:pPr>
              <w:jc w:val="both"/>
              <w:rPr>
                <w:sz w:val="16"/>
                <w:szCs w:val="16"/>
              </w:rPr>
            </w:pPr>
            <w:r w:rsidRPr="008975D9">
              <w:rPr>
                <w:sz w:val="16"/>
                <w:szCs w:val="16"/>
              </w:rPr>
              <w:t xml:space="preserve">Na základe dostupných údajov z realizovanej obnovy bytových domov </w:t>
            </w:r>
            <w:r w:rsidRPr="008975D9">
              <w:rPr>
                <w:sz w:val="16"/>
                <w:szCs w:val="16"/>
              </w:rPr>
              <w:lastRenderedPageBreak/>
              <w:t>v rokoch 2018-2019 v rámci ŠFRB v špecifickom cieli 4.1 IROP. Hodnota bola stanovená na základe celkovej podlahovej plochy budov, ktoré sa plánujú obnoviť a priemernej plochy bytu vrátane príslušného podielu spoločných priestorov (priemerná podlahová plocha bytu vrátane spoločných priestorov je 88 m2).</w:t>
            </w:r>
          </w:p>
          <w:p w14:paraId="0D4FDB03" w14:textId="77777777" w:rsidR="00D86668" w:rsidRPr="008975D9" w:rsidRDefault="00D86668" w:rsidP="00C11675">
            <w:pPr>
              <w:jc w:val="both"/>
              <w:rPr>
                <w:sz w:val="16"/>
                <w:szCs w:val="16"/>
              </w:rPr>
            </w:pPr>
            <w:r w:rsidRPr="008975D9">
              <w:rPr>
                <w:sz w:val="16"/>
                <w:szCs w:val="16"/>
              </w:rPr>
              <w:t>Pre jednotlivé projekty sa bude vyhodnocovať uvedením reálneho počtu bytov v obnovenej budove.</w:t>
            </w:r>
          </w:p>
          <w:p w14:paraId="4B91C97F"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615150B6"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A12FA4" w14:textId="77777777" w:rsidR="00D86668" w:rsidRPr="008975D9" w:rsidRDefault="00D86668" w:rsidP="00C11675">
            <w:pPr>
              <w:rPr>
                <w:bCs/>
                <w:sz w:val="16"/>
                <w:szCs w:val="16"/>
              </w:rPr>
            </w:pPr>
            <w:r w:rsidRPr="008975D9">
              <w:rPr>
                <w:bCs/>
                <w:sz w:val="16"/>
                <w:szCs w:val="16"/>
              </w:rPr>
              <w:lastRenderedPageBreak/>
              <w:t>O0259</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5AD655F" w14:textId="77777777" w:rsidR="00D86668" w:rsidRPr="008975D9" w:rsidRDefault="00D86668" w:rsidP="00C11675">
            <w:pPr>
              <w:rPr>
                <w:sz w:val="16"/>
                <w:szCs w:val="16"/>
              </w:rPr>
            </w:pPr>
            <w:r w:rsidRPr="008975D9">
              <w:rPr>
                <w:sz w:val="16"/>
                <w:szCs w:val="16"/>
              </w:rPr>
              <w:t>Ročná spotreba primárnej energie v bytových domoch</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816A93A" w14:textId="77777777" w:rsidR="00D86668" w:rsidRPr="008975D9" w:rsidRDefault="00D86668" w:rsidP="00C11675">
            <w:pPr>
              <w:jc w:val="center"/>
              <w:rPr>
                <w:sz w:val="16"/>
                <w:szCs w:val="16"/>
              </w:rPr>
            </w:pPr>
            <w:r w:rsidRPr="008975D9">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8670D5B"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4783C7E"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3B57EDA" w14:textId="77777777" w:rsidR="00D86668" w:rsidRPr="008975D9" w:rsidRDefault="00D86668" w:rsidP="00C11675">
            <w:pPr>
              <w:jc w:val="center"/>
              <w:rPr>
                <w:sz w:val="16"/>
                <w:szCs w:val="16"/>
              </w:rPr>
            </w:pPr>
            <w:r w:rsidRPr="008975D9">
              <w:rPr>
                <w:sz w:val="16"/>
                <w:szCs w:val="16"/>
              </w:rPr>
              <w:t>N/A</w:t>
            </w:r>
          </w:p>
        </w:tc>
        <w:tc>
          <w:tcPr>
            <w:tcW w:w="55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4D012D6" w14:textId="77777777" w:rsidR="00D86668" w:rsidRPr="008975D9" w:rsidRDefault="00D86668" w:rsidP="00C11675">
            <w:pPr>
              <w:jc w:val="center"/>
              <w:rPr>
                <w:sz w:val="16"/>
                <w:szCs w:val="16"/>
              </w:rPr>
            </w:pPr>
            <w:r w:rsidRPr="008975D9">
              <w:rPr>
                <w:sz w:val="16"/>
                <w:szCs w:val="16"/>
              </w:rPr>
              <w:t>N/A</w:t>
            </w:r>
          </w:p>
        </w:tc>
        <w:tc>
          <w:tcPr>
            <w:tcW w:w="10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D6F8AF0" w14:textId="77777777" w:rsidR="00D86668" w:rsidRPr="008975D9" w:rsidRDefault="00D86668" w:rsidP="00C11675">
            <w:pPr>
              <w:jc w:val="center"/>
              <w:rPr>
                <w:sz w:val="16"/>
                <w:szCs w:val="16"/>
              </w:rPr>
            </w:pPr>
            <w:r>
              <w:rPr>
                <w:sz w:val="16"/>
                <w:szCs w:val="16"/>
              </w:rPr>
              <w:t> </w:t>
            </w:r>
            <w:r w:rsidRPr="00C84C44">
              <w:rPr>
                <w:sz w:val="16"/>
                <w:szCs w:val="16"/>
              </w:rPr>
              <w:t>24 315 441</w:t>
            </w:r>
          </w:p>
        </w:tc>
        <w:tc>
          <w:tcPr>
            <w:tcW w:w="709"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5B31E1F1" w14:textId="77777777" w:rsidR="00D86668" w:rsidRPr="008975D9" w:rsidRDefault="00D86668" w:rsidP="00C11675">
            <w:pPr>
              <w:jc w:val="center"/>
              <w:rPr>
                <w:sz w:val="16"/>
                <w:szCs w:val="16"/>
              </w:rPr>
            </w:pPr>
            <w:r w:rsidRPr="008975D9">
              <w:rPr>
                <w:sz w:val="16"/>
                <w:szCs w:val="16"/>
              </w:rPr>
              <w:t>SIEA</w:t>
            </w:r>
          </w:p>
        </w:tc>
        <w:tc>
          <w:tcPr>
            <w:tcW w:w="992"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23B5C2B4" w14:textId="77777777" w:rsidR="00D86668" w:rsidRPr="008975D9" w:rsidRDefault="00D86668" w:rsidP="00C11675">
            <w:pPr>
              <w:jc w:val="center"/>
              <w:rPr>
                <w:sz w:val="16"/>
                <w:szCs w:val="16"/>
              </w:rPr>
            </w:pPr>
            <w:r w:rsidRPr="008975D9">
              <w:rPr>
                <w:sz w:val="16"/>
                <w:szCs w:val="16"/>
              </w:rPr>
              <w:t>ročne</w:t>
            </w:r>
          </w:p>
        </w:tc>
        <w:tc>
          <w:tcPr>
            <w:tcW w:w="5118" w:type="dxa"/>
            <w:gridSpan w:val="2"/>
            <w:tcBorders>
              <w:top w:val="single" w:sz="8" w:space="0" w:color="4E67C8"/>
              <w:left w:val="single" w:sz="8" w:space="0" w:color="4E67C8"/>
              <w:bottom w:val="single" w:sz="8" w:space="0" w:color="4E67C8"/>
              <w:right w:val="single" w:sz="8" w:space="0" w:color="4E67C8"/>
            </w:tcBorders>
            <w:vAlign w:val="center"/>
          </w:tcPr>
          <w:p w14:paraId="0EFB394D" w14:textId="77777777" w:rsidR="00D86668" w:rsidRPr="008975D9" w:rsidRDefault="00D86668" w:rsidP="00C11675">
            <w:pPr>
              <w:jc w:val="both"/>
              <w:rPr>
                <w:sz w:val="16"/>
                <w:szCs w:val="16"/>
              </w:rPr>
            </w:pPr>
            <w:r w:rsidRPr="008975D9">
              <w:rPr>
                <w:sz w:val="16"/>
                <w:szCs w:val="16"/>
              </w:rPr>
              <w:t>Predstavuje maximálnu hodnotu ročnej potreby primárnej energie pre predpokladaný počet budov, ktoré budú obnovené prostredníctvom špecifického cieľa 7.8.</w:t>
            </w:r>
          </w:p>
          <w:p w14:paraId="56D20481" w14:textId="77777777" w:rsidR="00D86668" w:rsidRPr="008975D9" w:rsidRDefault="00D86668" w:rsidP="00C11675">
            <w:pPr>
              <w:jc w:val="both"/>
              <w:rPr>
                <w:sz w:val="16"/>
                <w:szCs w:val="16"/>
              </w:rPr>
            </w:pPr>
            <w:r w:rsidRPr="008975D9">
              <w:rPr>
                <w:sz w:val="16"/>
                <w:szCs w:val="16"/>
              </w:rPr>
              <w:t>Z dôvodu priebežných zmien všeobecne záväzných právnych predpisov sa hodnota predpokladanej potreby tepla na vykurovanie vydelí číslom 0,85, ktoré predstavuje priemernú hodnotu účinnosti premeny energie na teplo a jeho distribúciu.</w:t>
            </w:r>
          </w:p>
          <w:p w14:paraId="5203B848" w14:textId="77777777" w:rsidR="00D86668" w:rsidRPr="008975D9" w:rsidRDefault="00D86668" w:rsidP="00C11675">
            <w:pPr>
              <w:jc w:val="both"/>
              <w:rPr>
                <w:sz w:val="16"/>
                <w:szCs w:val="16"/>
              </w:rPr>
            </w:pPr>
            <w:r w:rsidRPr="008975D9">
              <w:rPr>
                <w:sz w:val="16"/>
                <w:szCs w:val="16"/>
              </w:rPr>
              <w:t>Vypočíta sa nasledovne: [predpokladaná cieľová hodnota potreby tepla na vykurovanie v roku 2023, t. j. 53,00 kWh/m2] x [celková podlahová plocha predpokladaných obnovených budov]/0,85.</w:t>
            </w:r>
          </w:p>
          <w:p w14:paraId="73C17FD0"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4BCDEFBC"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7924397" w14:textId="77777777" w:rsidR="00D86668" w:rsidRPr="008975D9" w:rsidRDefault="00D86668" w:rsidP="00C11675">
            <w:pPr>
              <w:rPr>
                <w:bCs/>
                <w:sz w:val="16"/>
                <w:szCs w:val="16"/>
              </w:rPr>
            </w:pPr>
            <w:r w:rsidRPr="008975D9">
              <w:rPr>
                <w:bCs/>
                <w:sz w:val="16"/>
                <w:szCs w:val="16"/>
              </w:rPr>
              <w:t>O0255</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137B9CC" w14:textId="77777777" w:rsidR="00D86668" w:rsidRPr="008975D9" w:rsidRDefault="00D86668" w:rsidP="00C11675">
            <w:pPr>
              <w:rPr>
                <w:sz w:val="16"/>
                <w:szCs w:val="16"/>
              </w:rPr>
            </w:pPr>
            <w:r w:rsidRPr="008975D9">
              <w:rPr>
                <w:sz w:val="16"/>
                <w:szCs w:val="16"/>
              </w:rPr>
              <w:t>Konečná spotreba energie</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DF7498" w14:textId="77777777" w:rsidR="00D86668" w:rsidRPr="008975D9" w:rsidRDefault="00D86668" w:rsidP="00C11675">
            <w:pPr>
              <w:jc w:val="center"/>
              <w:rPr>
                <w:sz w:val="16"/>
                <w:szCs w:val="16"/>
              </w:rPr>
            </w:pPr>
            <w:r w:rsidRPr="008975D9">
              <w:rPr>
                <w:sz w:val="16"/>
                <w:szCs w:val="16"/>
              </w:rPr>
              <w:t>kWh/rok</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488A883"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9B57365"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18C050" w14:textId="77777777" w:rsidR="00D86668" w:rsidRPr="008975D9" w:rsidRDefault="00D86668" w:rsidP="00C11675">
            <w:pPr>
              <w:jc w:val="center"/>
              <w:rPr>
                <w:sz w:val="16"/>
                <w:szCs w:val="16"/>
              </w:rPr>
            </w:pPr>
            <w:r w:rsidRPr="008975D9">
              <w:rPr>
                <w:sz w:val="16"/>
                <w:szCs w:val="16"/>
              </w:rPr>
              <w:t>N/A</w:t>
            </w:r>
          </w:p>
        </w:tc>
        <w:tc>
          <w:tcPr>
            <w:tcW w:w="55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D966FA3" w14:textId="77777777" w:rsidR="00D86668" w:rsidRPr="008975D9" w:rsidRDefault="00D86668" w:rsidP="00C11675">
            <w:pPr>
              <w:jc w:val="center"/>
              <w:rPr>
                <w:sz w:val="16"/>
                <w:szCs w:val="16"/>
              </w:rPr>
            </w:pPr>
            <w:r w:rsidRPr="008975D9">
              <w:rPr>
                <w:sz w:val="16"/>
                <w:szCs w:val="16"/>
              </w:rPr>
              <w:t>N/A</w:t>
            </w:r>
          </w:p>
        </w:tc>
        <w:tc>
          <w:tcPr>
            <w:tcW w:w="10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F45B15C" w14:textId="77777777" w:rsidR="00D86668" w:rsidRPr="008975D9" w:rsidRDefault="00D86668" w:rsidP="00C11675">
            <w:pPr>
              <w:jc w:val="center"/>
              <w:rPr>
                <w:sz w:val="16"/>
                <w:szCs w:val="16"/>
              </w:rPr>
            </w:pPr>
            <w:r>
              <w:rPr>
                <w:sz w:val="16"/>
                <w:szCs w:val="16"/>
              </w:rPr>
              <w:t> </w:t>
            </w:r>
            <w:r w:rsidRPr="00C84C44">
              <w:rPr>
                <w:sz w:val="16"/>
                <w:szCs w:val="16"/>
              </w:rPr>
              <w:t>20 668 125</w:t>
            </w:r>
          </w:p>
        </w:tc>
        <w:tc>
          <w:tcPr>
            <w:tcW w:w="709"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4FB1D489" w14:textId="77777777" w:rsidR="00D86668" w:rsidRPr="008975D9" w:rsidRDefault="00D86668" w:rsidP="00C11675">
            <w:pPr>
              <w:jc w:val="center"/>
              <w:rPr>
                <w:sz w:val="16"/>
                <w:szCs w:val="16"/>
              </w:rPr>
            </w:pPr>
            <w:r w:rsidRPr="008975D9">
              <w:rPr>
                <w:sz w:val="16"/>
                <w:szCs w:val="16"/>
              </w:rPr>
              <w:t>SIEA</w:t>
            </w:r>
          </w:p>
        </w:tc>
        <w:tc>
          <w:tcPr>
            <w:tcW w:w="992"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74337BDC" w14:textId="77777777" w:rsidR="00D86668" w:rsidRPr="008975D9" w:rsidRDefault="00D86668" w:rsidP="00C11675">
            <w:pPr>
              <w:jc w:val="center"/>
              <w:rPr>
                <w:sz w:val="16"/>
                <w:szCs w:val="16"/>
              </w:rPr>
            </w:pPr>
            <w:r w:rsidRPr="008975D9">
              <w:rPr>
                <w:sz w:val="16"/>
                <w:szCs w:val="16"/>
              </w:rPr>
              <w:t>ročne</w:t>
            </w:r>
          </w:p>
        </w:tc>
        <w:tc>
          <w:tcPr>
            <w:tcW w:w="5118" w:type="dxa"/>
            <w:gridSpan w:val="2"/>
            <w:tcBorders>
              <w:top w:val="single" w:sz="8" w:space="0" w:color="4E67C8"/>
              <w:left w:val="single" w:sz="8" w:space="0" w:color="4E67C8"/>
              <w:bottom w:val="single" w:sz="8" w:space="0" w:color="4E67C8"/>
              <w:right w:val="single" w:sz="8" w:space="0" w:color="4E67C8"/>
            </w:tcBorders>
            <w:vAlign w:val="center"/>
          </w:tcPr>
          <w:p w14:paraId="76239CEE" w14:textId="77777777" w:rsidR="00D86668" w:rsidRPr="008975D9" w:rsidRDefault="00D86668" w:rsidP="00C11675">
            <w:pPr>
              <w:jc w:val="both"/>
              <w:rPr>
                <w:sz w:val="16"/>
                <w:szCs w:val="16"/>
              </w:rPr>
            </w:pPr>
            <w:r w:rsidRPr="008975D9">
              <w:rPr>
                <w:sz w:val="16"/>
                <w:szCs w:val="16"/>
              </w:rPr>
              <w:t>Predstavuje maximálnu hodnotu ročnej konečnej potreby energie pre predpokladaný počet budov, ktoré budú obnovené prostredníctvom špecifického cieľa 7.8.</w:t>
            </w:r>
          </w:p>
          <w:p w14:paraId="4F4859F6" w14:textId="77777777" w:rsidR="00D86668" w:rsidRPr="008975D9" w:rsidRDefault="00D86668" w:rsidP="00C11675">
            <w:pPr>
              <w:jc w:val="both"/>
              <w:rPr>
                <w:sz w:val="16"/>
                <w:szCs w:val="16"/>
              </w:rPr>
            </w:pPr>
          </w:p>
          <w:p w14:paraId="25B003D1" w14:textId="77777777" w:rsidR="00D86668" w:rsidRPr="008975D9" w:rsidRDefault="00D86668" w:rsidP="00C11675">
            <w:pPr>
              <w:jc w:val="both"/>
              <w:rPr>
                <w:sz w:val="16"/>
                <w:szCs w:val="16"/>
              </w:rPr>
            </w:pPr>
            <w:r w:rsidRPr="008975D9">
              <w:rPr>
                <w:sz w:val="16"/>
                <w:szCs w:val="16"/>
              </w:rPr>
              <w:t>Vypočíta sa nasledovne: [predpokladaná cieľová hodnota potreby tepla na vykurovanie v roku 2023, t. j. 53,00 kWh/m2] x [celková podlahová plocha predpokladaných obnovených budov].</w:t>
            </w:r>
          </w:p>
          <w:p w14:paraId="6C8F2D68"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r w:rsidR="00D86668" w:rsidRPr="008975D9" w14:paraId="4B480CF6" w14:textId="77777777" w:rsidTr="00C11675">
        <w:tc>
          <w:tcPr>
            <w:tcW w:w="69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672CA00" w14:textId="77777777" w:rsidR="00D86668" w:rsidRPr="008975D9" w:rsidRDefault="00D86668" w:rsidP="00C11675">
            <w:pPr>
              <w:rPr>
                <w:bCs/>
                <w:sz w:val="16"/>
                <w:szCs w:val="16"/>
              </w:rPr>
            </w:pPr>
            <w:r w:rsidRPr="008975D9">
              <w:rPr>
                <w:bCs/>
                <w:sz w:val="16"/>
                <w:szCs w:val="16"/>
              </w:rPr>
              <w:t>C</w:t>
            </w:r>
            <w:r>
              <w:rPr>
                <w:bCs/>
                <w:sz w:val="16"/>
                <w:szCs w:val="16"/>
              </w:rPr>
              <w:t>0</w:t>
            </w:r>
            <w:r w:rsidRPr="008975D9">
              <w:rPr>
                <w:bCs/>
                <w:sz w:val="16"/>
                <w:szCs w:val="16"/>
              </w:rPr>
              <w:t>034</w:t>
            </w:r>
          </w:p>
        </w:tc>
        <w:tc>
          <w:tcPr>
            <w:tcW w:w="1910"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CBC3F82" w14:textId="77777777" w:rsidR="00D86668" w:rsidRPr="008975D9" w:rsidRDefault="00D86668" w:rsidP="00C11675">
            <w:pPr>
              <w:rPr>
                <w:sz w:val="16"/>
                <w:szCs w:val="16"/>
              </w:rPr>
            </w:pPr>
            <w:r w:rsidRPr="008975D9">
              <w:rPr>
                <w:sz w:val="16"/>
                <w:szCs w:val="16"/>
              </w:rPr>
              <w:t>Odhadované ročné zníženie emisií skleníkových plynov</w:t>
            </w: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CDD5272" w14:textId="77777777" w:rsidR="00D86668" w:rsidRPr="008975D9" w:rsidRDefault="00D86668" w:rsidP="00C11675">
            <w:pPr>
              <w:jc w:val="center"/>
              <w:rPr>
                <w:sz w:val="16"/>
                <w:szCs w:val="16"/>
              </w:rPr>
            </w:pPr>
            <w:r w:rsidRPr="008975D9">
              <w:rPr>
                <w:sz w:val="16"/>
                <w:szCs w:val="16"/>
              </w:rPr>
              <w:t xml:space="preserve">t </w:t>
            </w:r>
            <w:proofErr w:type="spellStart"/>
            <w:r w:rsidRPr="008975D9">
              <w:rPr>
                <w:sz w:val="16"/>
                <w:szCs w:val="16"/>
              </w:rPr>
              <w:t>ekviv</w:t>
            </w:r>
            <w:proofErr w:type="spellEnd"/>
            <w:r w:rsidRPr="008975D9">
              <w:rPr>
                <w:sz w:val="16"/>
                <w:szCs w:val="16"/>
              </w:rPr>
              <w:t>. CO</w:t>
            </w:r>
            <w:r w:rsidRPr="008975D9">
              <w:rPr>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21B08867" w14:textId="77777777" w:rsidR="00D86668" w:rsidRPr="008975D9" w:rsidRDefault="00D86668" w:rsidP="00C11675">
            <w:pPr>
              <w:jc w:val="center"/>
              <w:rPr>
                <w:sz w:val="16"/>
                <w:szCs w:val="16"/>
              </w:rPr>
            </w:pPr>
            <w:r w:rsidRPr="008975D9">
              <w:rPr>
                <w:sz w:val="16"/>
                <w:szCs w:val="16"/>
              </w:rPr>
              <w:t>EFRR</w:t>
            </w: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C6D989C" w14:textId="77777777" w:rsidR="00D86668" w:rsidRPr="008975D9" w:rsidRDefault="00D86668" w:rsidP="00C11675">
            <w:pPr>
              <w:jc w:val="center"/>
              <w:rPr>
                <w:sz w:val="16"/>
                <w:szCs w:val="16"/>
              </w:rPr>
            </w:pPr>
            <w:r w:rsidRPr="008975D9">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3844D32" w14:textId="77777777" w:rsidR="00D86668" w:rsidRPr="008975D9" w:rsidRDefault="00D86668" w:rsidP="00C11675">
            <w:pPr>
              <w:jc w:val="center"/>
              <w:rPr>
                <w:sz w:val="16"/>
                <w:szCs w:val="16"/>
              </w:rPr>
            </w:pPr>
            <w:r w:rsidRPr="008975D9">
              <w:rPr>
                <w:sz w:val="16"/>
                <w:szCs w:val="16"/>
              </w:rPr>
              <w:t>N/A</w:t>
            </w:r>
          </w:p>
        </w:tc>
        <w:tc>
          <w:tcPr>
            <w:tcW w:w="55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65925DAA" w14:textId="77777777" w:rsidR="00D86668" w:rsidRPr="008975D9" w:rsidRDefault="00D86668" w:rsidP="00C11675">
            <w:pPr>
              <w:jc w:val="center"/>
              <w:rPr>
                <w:sz w:val="16"/>
                <w:szCs w:val="16"/>
              </w:rPr>
            </w:pPr>
            <w:r w:rsidRPr="008975D9">
              <w:rPr>
                <w:sz w:val="16"/>
                <w:szCs w:val="16"/>
              </w:rPr>
              <w:t>N/A</w:t>
            </w:r>
          </w:p>
        </w:tc>
        <w:tc>
          <w:tcPr>
            <w:tcW w:w="1067"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B202F2E" w14:textId="77777777" w:rsidR="00D86668" w:rsidRPr="008975D9" w:rsidRDefault="00D86668" w:rsidP="00C11675">
            <w:pPr>
              <w:jc w:val="center"/>
              <w:rPr>
                <w:sz w:val="16"/>
                <w:szCs w:val="16"/>
              </w:rPr>
            </w:pPr>
            <w:r>
              <w:rPr>
                <w:sz w:val="16"/>
                <w:szCs w:val="16"/>
              </w:rPr>
              <w:t> </w:t>
            </w:r>
            <w:r w:rsidRPr="00C84C44">
              <w:rPr>
                <w:sz w:val="16"/>
                <w:szCs w:val="16"/>
              </w:rPr>
              <w:t>2 935</w:t>
            </w:r>
          </w:p>
        </w:tc>
        <w:tc>
          <w:tcPr>
            <w:tcW w:w="709"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5CBECB2E" w14:textId="77777777" w:rsidR="00D86668" w:rsidRPr="008975D9" w:rsidRDefault="00D86668" w:rsidP="00C11675">
            <w:pPr>
              <w:jc w:val="center"/>
              <w:rPr>
                <w:sz w:val="16"/>
                <w:szCs w:val="16"/>
              </w:rPr>
            </w:pPr>
            <w:r w:rsidRPr="008975D9">
              <w:rPr>
                <w:sz w:val="16"/>
                <w:szCs w:val="16"/>
              </w:rPr>
              <w:t>SIEA</w:t>
            </w:r>
          </w:p>
        </w:tc>
        <w:tc>
          <w:tcPr>
            <w:tcW w:w="992" w:type="dxa"/>
            <w:gridSpan w:val="2"/>
            <w:tcBorders>
              <w:top w:val="single" w:sz="8" w:space="0" w:color="4E67C8"/>
              <w:left w:val="single" w:sz="8" w:space="0" w:color="4E67C8"/>
              <w:bottom w:val="single" w:sz="8" w:space="0" w:color="4E67C8"/>
              <w:right w:val="single" w:sz="8" w:space="0" w:color="4E67C8"/>
            </w:tcBorders>
            <w:shd w:val="clear" w:color="auto" w:fill="auto"/>
            <w:vAlign w:val="center"/>
          </w:tcPr>
          <w:p w14:paraId="1E858AE4" w14:textId="77777777" w:rsidR="00D86668" w:rsidRPr="008975D9" w:rsidRDefault="00D86668" w:rsidP="00C11675">
            <w:pPr>
              <w:jc w:val="center"/>
              <w:rPr>
                <w:sz w:val="16"/>
                <w:szCs w:val="16"/>
              </w:rPr>
            </w:pPr>
            <w:r w:rsidRPr="008975D9">
              <w:rPr>
                <w:sz w:val="16"/>
                <w:szCs w:val="16"/>
              </w:rPr>
              <w:t>ročne</w:t>
            </w:r>
          </w:p>
        </w:tc>
        <w:tc>
          <w:tcPr>
            <w:tcW w:w="5118" w:type="dxa"/>
            <w:gridSpan w:val="2"/>
            <w:tcBorders>
              <w:top w:val="single" w:sz="8" w:space="0" w:color="4E67C8"/>
              <w:left w:val="single" w:sz="8" w:space="0" w:color="4E67C8"/>
              <w:bottom w:val="single" w:sz="8" w:space="0" w:color="4E67C8"/>
              <w:right w:val="single" w:sz="8" w:space="0" w:color="4E67C8"/>
            </w:tcBorders>
            <w:vAlign w:val="center"/>
          </w:tcPr>
          <w:p w14:paraId="042E04E1" w14:textId="77777777" w:rsidR="00D86668" w:rsidRPr="008975D9" w:rsidRDefault="00D86668" w:rsidP="00C11675">
            <w:pPr>
              <w:jc w:val="both"/>
              <w:rPr>
                <w:sz w:val="16"/>
                <w:szCs w:val="16"/>
              </w:rPr>
            </w:pPr>
            <w:r w:rsidRPr="008975D9">
              <w:rPr>
                <w:sz w:val="16"/>
                <w:szCs w:val="16"/>
              </w:rPr>
              <w:t>Predstavuje ekvivalent zníženia emisií skleníkových plynov zodpovedajúci úspore tepla na vykurovanie, ktorá sa dosiahne realizáciou opatrení EE. Predpokladá sa úspora 35% z potreby tepla na vykurovanie pred realizáciou opatrení EE.</w:t>
            </w:r>
          </w:p>
          <w:p w14:paraId="747DDA1E" w14:textId="77777777" w:rsidR="00D86668" w:rsidRPr="008975D9" w:rsidRDefault="00D86668" w:rsidP="00C11675">
            <w:pPr>
              <w:jc w:val="both"/>
              <w:rPr>
                <w:sz w:val="16"/>
                <w:szCs w:val="16"/>
              </w:rPr>
            </w:pPr>
            <w:r w:rsidRPr="008975D9">
              <w:rPr>
                <w:sz w:val="16"/>
                <w:szCs w:val="16"/>
              </w:rPr>
              <w:t xml:space="preserve">Pri určení zníženia emisií CO2 sa vychádza z potreby tepla na vykurovanie pred a po realizácii opatrení energetickej efektívnosti. </w:t>
            </w:r>
          </w:p>
          <w:p w14:paraId="1B259B73" w14:textId="77777777" w:rsidR="00D86668" w:rsidRPr="008975D9" w:rsidRDefault="00D86668" w:rsidP="00C11675">
            <w:pPr>
              <w:jc w:val="both"/>
              <w:rPr>
                <w:sz w:val="16"/>
                <w:szCs w:val="16"/>
              </w:rPr>
            </w:pPr>
          </w:p>
          <w:p w14:paraId="0CC949A5" w14:textId="77777777" w:rsidR="00D86668" w:rsidRDefault="00D86668" w:rsidP="00C11675">
            <w:pPr>
              <w:jc w:val="both"/>
              <w:rPr>
                <w:sz w:val="16"/>
                <w:szCs w:val="16"/>
              </w:rPr>
            </w:pPr>
            <w:r w:rsidRPr="008975D9">
              <w:rPr>
                <w:sz w:val="16"/>
                <w:szCs w:val="16"/>
              </w:rPr>
              <w:t>Na prepočet sa použije priemerný faktor CO2 vo výške 0,263757 kg/kWh, ktorý bol určený pri nasledujúcom predpoklade priemerného využitia primárnych energetických zdrojov na vykurovanie: 70% zemný plyn, 2% jadrové palivo, 12,5% biomasa, 15,5% uhlie. Uvedený mechanizmus sa používa aj v rámci OP KŽP.</w:t>
            </w:r>
          </w:p>
          <w:p w14:paraId="211B01A1" w14:textId="77777777" w:rsidR="00D86668" w:rsidRDefault="00D86668" w:rsidP="00C11675">
            <w:pPr>
              <w:jc w:val="both"/>
              <w:rPr>
                <w:sz w:val="16"/>
                <w:szCs w:val="16"/>
              </w:rPr>
            </w:pPr>
          </w:p>
          <w:p w14:paraId="241A4A4B" w14:textId="77777777" w:rsidR="00D86668" w:rsidRPr="008975D9" w:rsidRDefault="00D86668" w:rsidP="00C11675">
            <w:pPr>
              <w:jc w:val="both"/>
              <w:rPr>
                <w:sz w:val="16"/>
                <w:szCs w:val="16"/>
              </w:rPr>
            </w:pPr>
            <w:r>
              <w:rPr>
                <w:sz w:val="16"/>
                <w:szCs w:val="16"/>
              </w:rPr>
              <w:t xml:space="preserve">V rámci výpočtu pôvodnej hodnoty došlo k pochybeniu; súčasná hodnota odráža skutočnú hodnotu </w:t>
            </w:r>
            <w:r w:rsidRPr="008975D9">
              <w:rPr>
                <w:sz w:val="16"/>
                <w:szCs w:val="16"/>
              </w:rPr>
              <w:t>zníženie emisií skleníkových plynov</w:t>
            </w:r>
            <w:r>
              <w:rPr>
                <w:sz w:val="16"/>
                <w:szCs w:val="16"/>
              </w:rPr>
              <w:t xml:space="preserve"> v rámci  možností navrhovaných technických riešení.</w:t>
            </w:r>
          </w:p>
          <w:p w14:paraId="1FA0D9B1" w14:textId="77777777" w:rsidR="00D86668" w:rsidRPr="008975D9" w:rsidRDefault="00D86668" w:rsidP="00C11675">
            <w:pPr>
              <w:jc w:val="both"/>
              <w:rPr>
                <w:sz w:val="16"/>
                <w:szCs w:val="16"/>
              </w:rPr>
            </w:pPr>
          </w:p>
          <w:p w14:paraId="78CC28D9" w14:textId="77777777" w:rsidR="00D86668" w:rsidRPr="008975D9" w:rsidRDefault="00D86668" w:rsidP="00C11675">
            <w:pPr>
              <w:jc w:val="both"/>
              <w:rPr>
                <w:sz w:val="16"/>
                <w:szCs w:val="16"/>
              </w:rPr>
            </w:pPr>
            <w:r w:rsidRPr="008975D9">
              <w:rPr>
                <w:sz w:val="16"/>
                <w:szCs w:val="16"/>
              </w:rPr>
              <w:t>Pri definovaní cieľov</w:t>
            </w:r>
            <w:r>
              <w:rPr>
                <w:sz w:val="16"/>
                <w:szCs w:val="16"/>
              </w:rPr>
              <w:t>ej hodnoty RO pre IROP zohľadnil</w:t>
            </w:r>
            <w:r w:rsidRPr="008975D9">
              <w:rPr>
                <w:sz w:val="16"/>
                <w:szCs w:val="16"/>
              </w:rPr>
              <w:t xml:space="preserve"> aj výšku </w:t>
            </w:r>
            <w:r>
              <w:rPr>
                <w:sz w:val="16"/>
                <w:szCs w:val="16"/>
              </w:rPr>
              <w:t>2</w:t>
            </w:r>
            <w:r w:rsidRPr="008975D9">
              <w:rPr>
                <w:sz w:val="16"/>
                <w:szCs w:val="16"/>
              </w:rPr>
              <w:t xml:space="preserve">. </w:t>
            </w:r>
            <w:proofErr w:type="spellStart"/>
            <w:r w:rsidRPr="008975D9">
              <w:rPr>
                <w:sz w:val="16"/>
                <w:szCs w:val="16"/>
              </w:rPr>
              <w:t>tranže</w:t>
            </w:r>
            <w:proofErr w:type="spellEnd"/>
            <w:r w:rsidRPr="008975D9">
              <w:rPr>
                <w:sz w:val="16"/>
                <w:szCs w:val="16"/>
              </w:rPr>
              <w:t>.</w:t>
            </w:r>
          </w:p>
        </w:tc>
      </w:tr>
    </w:tbl>
    <w:p w14:paraId="26260439" w14:textId="77777777" w:rsidR="00D86668" w:rsidRDefault="00D86668" w:rsidP="00D86668">
      <w:pPr>
        <w:rPr>
          <w:rStyle w:val="Zvraznenie"/>
          <w:sz w:val="16"/>
          <w:szCs w:val="16"/>
        </w:rPr>
      </w:pPr>
      <w:r>
        <w:rPr>
          <w:rStyle w:val="Zvraznenie"/>
          <w:sz w:val="16"/>
          <w:szCs w:val="16"/>
        </w:rPr>
        <w:t xml:space="preserve">Pozn.: Hodnoty merateľných ukazovateľov O0259 a </w:t>
      </w:r>
      <w:r w:rsidRPr="00C84C44">
        <w:rPr>
          <w:rStyle w:val="Zvraznenie"/>
          <w:sz w:val="16"/>
          <w:szCs w:val="16"/>
        </w:rPr>
        <w:t>O0255</w:t>
      </w:r>
      <w:r>
        <w:rPr>
          <w:rStyle w:val="Zvraznenie"/>
          <w:sz w:val="16"/>
          <w:szCs w:val="16"/>
        </w:rPr>
        <w:t xml:space="preserve"> vo verzii 9.0 boli chybou v počítaní stanovené 100-násobne nižšie.</w:t>
      </w:r>
    </w:p>
    <w:p w14:paraId="1B7CC3CB" w14:textId="77777777" w:rsidR="00D86668" w:rsidRDefault="00D86668" w:rsidP="00D86668">
      <w:pPr>
        <w:rPr>
          <w:sz w:val="16"/>
          <w:szCs w:val="16"/>
        </w:rPr>
      </w:pPr>
    </w:p>
    <w:p w14:paraId="1C70085B" w14:textId="77777777" w:rsidR="00D86668" w:rsidRDefault="00D86668" w:rsidP="00D86668">
      <w:pPr>
        <w:rPr>
          <w:sz w:val="16"/>
          <w:szCs w:val="16"/>
        </w:rPr>
      </w:pPr>
    </w:p>
    <w:p w14:paraId="10FD5B16" w14:textId="77777777" w:rsidR="00D86668" w:rsidRDefault="00D86668" w:rsidP="00D86668">
      <w:pPr>
        <w:pStyle w:val="Odsekzoznamu"/>
        <w:spacing w:before="120" w:after="0" w:line="240" w:lineRule="auto"/>
        <w:ind w:left="0"/>
        <w:jc w:val="both"/>
        <w:rPr>
          <w:rFonts w:ascii="Arial" w:hAnsi="Arial" w:cs="Arial"/>
          <w:b/>
          <w:i/>
          <w:sz w:val="16"/>
          <w:szCs w:val="16"/>
        </w:rPr>
      </w:pPr>
      <w:r w:rsidRPr="00592256">
        <w:rPr>
          <w:rFonts w:ascii="Arial" w:hAnsi="Arial" w:cs="Arial"/>
          <w:b/>
          <w:i/>
          <w:sz w:val="16"/>
          <w:szCs w:val="16"/>
        </w:rPr>
        <w:t>Špecifický cieľ 8.2.</w:t>
      </w:r>
      <w:r>
        <w:rPr>
          <w:rFonts w:ascii="Arial" w:hAnsi="Arial" w:cs="Arial"/>
          <w:b/>
          <w:i/>
          <w:sz w:val="16"/>
          <w:szCs w:val="16"/>
        </w:rPr>
        <w:t xml:space="preserve"> Podpora existujúcich kapacít RO/SO pre IROP pri implementácii REACT-EÚ</w:t>
      </w:r>
    </w:p>
    <w:p w14:paraId="629C0E2B" w14:textId="77777777" w:rsidR="00D86668" w:rsidRDefault="00D86668" w:rsidP="00D86668">
      <w:pPr>
        <w:pStyle w:val="Odsekzoznamu"/>
        <w:spacing w:before="120" w:after="0" w:line="240" w:lineRule="auto"/>
        <w:ind w:left="0"/>
        <w:jc w:val="both"/>
        <w:rPr>
          <w:rFonts w:ascii="Arial" w:hAnsi="Arial" w:cs="Arial"/>
          <w:b/>
          <w:i/>
          <w:sz w:val="16"/>
          <w:szCs w:val="16"/>
        </w:rPr>
      </w:pPr>
    </w:p>
    <w:p w14:paraId="17D863C9" w14:textId="77777777" w:rsidR="00D86668" w:rsidRDefault="00D86668" w:rsidP="00D86668">
      <w:pPr>
        <w:pStyle w:val="Odsekzoznamu"/>
        <w:spacing w:before="120" w:after="0" w:line="240" w:lineRule="auto"/>
        <w:ind w:left="0"/>
        <w:jc w:val="both"/>
        <w:rPr>
          <w:rFonts w:ascii="Arial" w:hAnsi="Arial" w:cs="Arial"/>
          <w:b/>
          <w:i/>
          <w:sz w:val="16"/>
          <w:szCs w:val="16"/>
        </w:rPr>
      </w:pPr>
    </w:p>
    <w:p w14:paraId="6378D987" w14:textId="77777777" w:rsidR="00D86668" w:rsidRDefault="00D86668" w:rsidP="00D86668">
      <w:pPr>
        <w:rPr>
          <w:rStyle w:val="Zvraznenie"/>
          <w:sz w:val="16"/>
          <w:szCs w:val="16"/>
        </w:rPr>
      </w:pPr>
      <w:r w:rsidRPr="008975D9">
        <w:rPr>
          <w:rStyle w:val="Zvraznenie"/>
          <w:sz w:val="16"/>
          <w:szCs w:val="16"/>
        </w:rPr>
        <w:t xml:space="preserve">Výsledkový ukazovateľ pre špecifický cieľ č. </w:t>
      </w:r>
      <w:r>
        <w:rPr>
          <w:rStyle w:val="Zvraznenie"/>
          <w:sz w:val="16"/>
          <w:szCs w:val="16"/>
        </w:rPr>
        <w:t>8.2.</w:t>
      </w:r>
    </w:p>
    <w:p w14:paraId="2E3E0322" w14:textId="77777777" w:rsidR="00D86668" w:rsidRDefault="00D86668" w:rsidP="00D86668">
      <w:pPr>
        <w:rPr>
          <w:rStyle w:val="Zvraznenie"/>
          <w:sz w:val="16"/>
          <w:szCs w:val="16"/>
        </w:rPr>
      </w:pPr>
    </w:p>
    <w:p w14:paraId="1C0B0931" w14:textId="77777777" w:rsidR="00D86668" w:rsidRDefault="00D86668" w:rsidP="00D86668">
      <w:pPr>
        <w:rPr>
          <w:rStyle w:val="Zvraznenie"/>
          <w:sz w:val="16"/>
          <w:szCs w:val="16"/>
        </w:rPr>
      </w:pPr>
    </w:p>
    <w:tbl>
      <w:tblPr>
        <w:tblW w:w="14449"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57" w:type="dxa"/>
          <w:right w:w="28" w:type="dxa"/>
        </w:tblCellMar>
        <w:tblLook w:val="04A0" w:firstRow="1" w:lastRow="0" w:firstColumn="1" w:lastColumn="0" w:noHBand="0" w:noVBand="1"/>
      </w:tblPr>
      <w:tblGrid>
        <w:gridCol w:w="624"/>
        <w:gridCol w:w="1559"/>
        <w:gridCol w:w="709"/>
        <w:gridCol w:w="425"/>
        <w:gridCol w:w="426"/>
        <w:gridCol w:w="567"/>
        <w:gridCol w:w="991"/>
        <w:gridCol w:w="567"/>
        <w:gridCol w:w="426"/>
        <w:gridCol w:w="850"/>
        <w:gridCol w:w="1068"/>
        <w:gridCol w:w="1134"/>
        <w:gridCol w:w="5103"/>
      </w:tblGrid>
      <w:tr w:rsidR="00D86668" w:rsidRPr="007304B6" w14:paraId="1E0B3FDC" w14:textId="77777777" w:rsidTr="00C11675">
        <w:trPr>
          <w:trHeight w:val="278"/>
        </w:trPr>
        <w:tc>
          <w:tcPr>
            <w:tcW w:w="624" w:type="dxa"/>
            <w:vMerge w:val="restart"/>
            <w:tcBorders>
              <w:top w:val="single" w:sz="8" w:space="0" w:color="4E67C8"/>
              <w:left w:val="single" w:sz="8" w:space="0" w:color="4E67C8"/>
              <w:right w:val="single" w:sz="8" w:space="0" w:color="4E67C8"/>
            </w:tcBorders>
            <w:shd w:val="clear" w:color="auto" w:fill="auto"/>
            <w:vAlign w:val="center"/>
          </w:tcPr>
          <w:p w14:paraId="6E6C6E78"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ID</w:t>
            </w:r>
          </w:p>
        </w:tc>
        <w:tc>
          <w:tcPr>
            <w:tcW w:w="1559" w:type="dxa"/>
            <w:vMerge w:val="restart"/>
            <w:tcBorders>
              <w:top w:val="single" w:sz="8" w:space="0" w:color="4E67C8"/>
              <w:left w:val="single" w:sz="8" w:space="0" w:color="4E67C8"/>
              <w:right w:val="single" w:sz="8" w:space="0" w:color="4E67C8"/>
            </w:tcBorders>
            <w:shd w:val="clear" w:color="auto" w:fill="auto"/>
            <w:vAlign w:val="center"/>
          </w:tcPr>
          <w:p w14:paraId="50D6F159"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Ukazovateľ</w:t>
            </w:r>
          </w:p>
        </w:tc>
        <w:tc>
          <w:tcPr>
            <w:tcW w:w="709" w:type="dxa"/>
            <w:vMerge w:val="restart"/>
            <w:tcBorders>
              <w:top w:val="single" w:sz="8" w:space="0" w:color="4E67C8"/>
              <w:left w:val="single" w:sz="8" w:space="0" w:color="4E67C8"/>
              <w:right w:val="single" w:sz="8" w:space="0" w:color="4E67C8"/>
            </w:tcBorders>
            <w:shd w:val="clear" w:color="auto" w:fill="auto"/>
            <w:vAlign w:val="center"/>
          </w:tcPr>
          <w:p w14:paraId="60F5B1A1"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Merná jednotka</w:t>
            </w:r>
          </w:p>
        </w:tc>
        <w:tc>
          <w:tcPr>
            <w:tcW w:w="1418" w:type="dxa"/>
            <w:gridSpan w:val="3"/>
            <w:tcBorders>
              <w:top w:val="single" w:sz="8" w:space="0" w:color="4E67C8"/>
              <w:left w:val="single" w:sz="8" w:space="0" w:color="4E67C8"/>
              <w:right w:val="single" w:sz="8" w:space="0" w:color="4E67C8"/>
            </w:tcBorders>
            <w:vAlign w:val="center"/>
          </w:tcPr>
          <w:p w14:paraId="4CAC6692"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Východisková hodnota</w:t>
            </w:r>
          </w:p>
        </w:tc>
        <w:tc>
          <w:tcPr>
            <w:tcW w:w="991" w:type="dxa"/>
            <w:vMerge w:val="restart"/>
            <w:tcBorders>
              <w:top w:val="single" w:sz="8" w:space="0" w:color="4E67C8"/>
              <w:left w:val="single" w:sz="8" w:space="0" w:color="4E67C8"/>
              <w:right w:val="single" w:sz="8" w:space="0" w:color="4E67C8"/>
            </w:tcBorders>
            <w:shd w:val="clear" w:color="auto" w:fill="auto"/>
            <w:vAlign w:val="center"/>
          </w:tcPr>
          <w:p w14:paraId="0CE7DD43"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Východiskový rok</w:t>
            </w:r>
          </w:p>
        </w:tc>
        <w:tc>
          <w:tcPr>
            <w:tcW w:w="1843"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36200E3C"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Cieľová hodnota (2023)</w:t>
            </w:r>
          </w:p>
        </w:tc>
        <w:tc>
          <w:tcPr>
            <w:tcW w:w="1068" w:type="dxa"/>
            <w:vMerge w:val="restart"/>
            <w:tcBorders>
              <w:top w:val="single" w:sz="8" w:space="0" w:color="4E67C8"/>
              <w:left w:val="single" w:sz="8" w:space="0" w:color="4E67C8"/>
              <w:right w:val="single" w:sz="8" w:space="0" w:color="4E67C8"/>
            </w:tcBorders>
            <w:shd w:val="clear" w:color="auto" w:fill="auto"/>
            <w:vAlign w:val="center"/>
          </w:tcPr>
          <w:p w14:paraId="06CEE4CC"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Zdroj údajov</w:t>
            </w:r>
          </w:p>
        </w:tc>
        <w:tc>
          <w:tcPr>
            <w:tcW w:w="1134" w:type="dxa"/>
            <w:vMerge w:val="restart"/>
            <w:tcBorders>
              <w:top w:val="single" w:sz="8" w:space="0" w:color="4E67C8"/>
              <w:left w:val="single" w:sz="8" w:space="0" w:color="4E67C8"/>
              <w:right w:val="single" w:sz="8" w:space="0" w:color="4E67C8"/>
            </w:tcBorders>
            <w:shd w:val="clear" w:color="auto" w:fill="auto"/>
            <w:vAlign w:val="center"/>
          </w:tcPr>
          <w:p w14:paraId="4A2C2726"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Frekvencia sledovania</w:t>
            </w:r>
          </w:p>
        </w:tc>
        <w:tc>
          <w:tcPr>
            <w:tcW w:w="5103" w:type="dxa"/>
            <w:vMerge w:val="restart"/>
            <w:tcBorders>
              <w:top w:val="single" w:sz="8" w:space="0" w:color="4E67C8"/>
              <w:left w:val="single" w:sz="8" w:space="0" w:color="4E67C8"/>
              <w:right w:val="single" w:sz="8" w:space="0" w:color="4E67C8"/>
            </w:tcBorders>
          </w:tcPr>
          <w:p w14:paraId="1AE6A9C2" w14:textId="77777777" w:rsidR="00D86668" w:rsidRPr="007304B6" w:rsidRDefault="00D86668" w:rsidP="00C11675">
            <w:pPr>
              <w:jc w:val="center"/>
              <w:rPr>
                <w:rFonts w:ascii="Arial Narrow" w:hAnsi="Arial Narrow"/>
                <w:b/>
                <w:bCs/>
                <w:sz w:val="16"/>
                <w:szCs w:val="16"/>
              </w:rPr>
            </w:pPr>
            <w:r w:rsidRPr="008975D9">
              <w:rPr>
                <w:b/>
                <w:bCs/>
                <w:sz w:val="16"/>
                <w:szCs w:val="16"/>
              </w:rPr>
              <w:t>Zdôvodnenie</w:t>
            </w:r>
          </w:p>
        </w:tc>
      </w:tr>
      <w:tr w:rsidR="00D86668" w:rsidRPr="007304B6" w14:paraId="6B8EAAAA" w14:textId="77777777" w:rsidTr="00C11675">
        <w:trPr>
          <w:trHeight w:val="277"/>
        </w:trPr>
        <w:tc>
          <w:tcPr>
            <w:tcW w:w="624" w:type="dxa"/>
            <w:vMerge/>
            <w:tcBorders>
              <w:left w:val="single" w:sz="8" w:space="0" w:color="4E67C8"/>
              <w:bottom w:val="single" w:sz="18" w:space="0" w:color="4E67C8"/>
              <w:right w:val="single" w:sz="8" w:space="0" w:color="4E67C8"/>
            </w:tcBorders>
            <w:shd w:val="clear" w:color="auto" w:fill="auto"/>
          </w:tcPr>
          <w:p w14:paraId="309DA03B" w14:textId="77777777" w:rsidR="00D86668" w:rsidRPr="007304B6" w:rsidRDefault="00D86668" w:rsidP="00C11675">
            <w:pPr>
              <w:rPr>
                <w:rFonts w:ascii="Arial Narrow" w:hAnsi="Arial Narrow"/>
                <w:b/>
                <w:bCs/>
                <w:sz w:val="16"/>
                <w:szCs w:val="16"/>
              </w:rPr>
            </w:pPr>
          </w:p>
        </w:tc>
        <w:tc>
          <w:tcPr>
            <w:tcW w:w="1559" w:type="dxa"/>
            <w:vMerge/>
            <w:tcBorders>
              <w:left w:val="single" w:sz="8" w:space="0" w:color="4E67C8"/>
              <w:bottom w:val="single" w:sz="18" w:space="0" w:color="4E67C8"/>
              <w:right w:val="single" w:sz="8" w:space="0" w:color="4E67C8"/>
            </w:tcBorders>
            <w:shd w:val="clear" w:color="auto" w:fill="auto"/>
          </w:tcPr>
          <w:p w14:paraId="2A18D1F3" w14:textId="77777777" w:rsidR="00D86668" w:rsidRPr="007304B6" w:rsidRDefault="00D86668" w:rsidP="00C11675">
            <w:pPr>
              <w:rPr>
                <w:rFonts w:ascii="Arial Narrow" w:hAnsi="Arial Narrow"/>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14:paraId="153B1AF1" w14:textId="77777777" w:rsidR="00D86668" w:rsidRPr="007304B6" w:rsidRDefault="00D86668" w:rsidP="00C11675">
            <w:pPr>
              <w:rPr>
                <w:rFonts w:ascii="Arial Narrow" w:hAnsi="Arial Narrow"/>
                <w:b/>
                <w:bCs/>
                <w:sz w:val="16"/>
                <w:szCs w:val="16"/>
              </w:rPr>
            </w:pPr>
          </w:p>
        </w:tc>
        <w:tc>
          <w:tcPr>
            <w:tcW w:w="425" w:type="dxa"/>
            <w:tcBorders>
              <w:left w:val="single" w:sz="8" w:space="0" w:color="4E67C8"/>
              <w:bottom w:val="single" w:sz="18" w:space="0" w:color="4E67C8"/>
              <w:right w:val="single" w:sz="8" w:space="0" w:color="4E67C8"/>
            </w:tcBorders>
            <w:vAlign w:val="center"/>
          </w:tcPr>
          <w:p w14:paraId="178543DB"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M</w:t>
            </w:r>
          </w:p>
        </w:tc>
        <w:tc>
          <w:tcPr>
            <w:tcW w:w="426" w:type="dxa"/>
            <w:tcBorders>
              <w:left w:val="single" w:sz="8" w:space="0" w:color="4E67C8"/>
              <w:bottom w:val="single" w:sz="18" w:space="0" w:color="4E67C8"/>
              <w:right w:val="single" w:sz="8" w:space="0" w:color="4E67C8"/>
            </w:tcBorders>
            <w:vAlign w:val="center"/>
          </w:tcPr>
          <w:p w14:paraId="6E88D3CA"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Ž</w:t>
            </w:r>
          </w:p>
        </w:tc>
        <w:tc>
          <w:tcPr>
            <w:tcW w:w="567" w:type="dxa"/>
            <w:tcBorders>
              <w:left w:val="single" w:sz="8" w:space="0" w:color="4E67C8"/>
              <w:bottom w:val="single" w:sz="18" w:space="0" w:color="4E67C8"/>
              <w:right w:val="single" w:sz="8" w:space="0" w:color="4E67C8"/>
            </w:tcBorders>
            <w:vAlign w:val="center"/>
          </w:tcPr>
          <w:p w14:paraId="1231E52C"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M+Ž</w:t>
            </w:r>
          </w:p>
        </w:tc>
        <w:tc>
          <w:tcPr>
            <w:tcW w:w="991" w:type="dxa"/>
            <w:vMerge/>
            <w:tcBorders>
              <w:left w:val="single" w:sz="8" w:space="0" w:color="4E67C8"/>
              <w:bottom w:val="single" w:sz="18" w:space="0" w:color="4E67C8"/>
              <w:right w:val="single" w:sz="8" w:space="0" w:color="4E67C8"/>
            </w:tcBorders>
            <w:shd w:val="clear" w:color="auto" w:fill="auto"/>
            <w:vAlign w:val="center"/>
          </w:tcPr>
          <w:p w14:paraId="1F3174F8" w14:textId="77777777" w:rsidR="00D86668" w:rsidRPr="007304B6" w:rsidRDefault="00D86668" w:rsidP="00C11675">
            <w:pPr>
              <w:jc w:val="center"/>
              <w:rPr>
                <w:rFonts w:ascii="Arial Narrow" w:hAnsi="Arial Narrow"/>
                <w:b/>
                <w:bCs/>
                <w:sz w:val="16"/>
                <w:szCs w:val="16"/>
              </w:rPr>
            </w:pPr>
          </w:p>
        </w:tc>
        <w:tc>
          <w:tcPr>
            <w:tcW w:w="567"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47611979"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M</w:t>
            </w:r>
          </w:p>
        </w:tc>
        <w:tc>
          <w:tcPr>
            <w:tcW w:w="426"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31B0674"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Ž</w:t>
            </w:r>
          </w:p>
        </w:tc>
        <w:tc>
          <w:tcPr>
            <w:tcW w:w="850"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6ED385A0" w14:textId="77777777" w:rsidR="00D86668" w:rsidRPr="007304B6" w:rsidRDefault="00D86668" w:rsidP="00C11675">
            <w:pPr>
              <w:jc w:val="center"/>
              <w:rPr>
                <w:rFonts w:ascii="Arial Narrow" w:hAnsi="Arial Narrow"/>
                <w:b/>
                <w:bCs/>
                <w:sz w:val="16"/>
                <w:szCs w:val="16"/>
              </w:rPr>
            </w:pPr>
            <w:r w:rsidRPr="007304B6">
              <w:rPr>
                <w:rFonts w:ascii="Arial Narrow" w:hAnsi="Arial Narrow"/>
                <w:b/>
                <w:bCs/>
                <w:sz w:val="16"/>
                <w:szCs w:val="16"/>
              </w:rPr>
              <w:t>M+Ž</w:t>
            </w:r>
          </w:p>
        </w:tc>
        <w:tc>
          <w:tcPr>
            <w:tcW w:w="1068" w:type="dxa"/>
            <w:vMerge/>
            <w:tcBorders>
              <w:left w:val="single" w:sz="8" w:space="0" w:color="4E67C8"/>
              <w:bottom w:val="single" w:sz="18" w:space="0" w:color="4E67C8"/>
              <w:right w:val="single" w:sz="8" w:space="0" w:color="4E67C8"/>
            </w:tcBorders>
            <w:shd w:val="clear" w:color="auto" w:fill="auto"/>
          </w:tcPr>
          <w:p w14:paraId="43BA4422" w14:textId="77777777" w:rsidR="00D86668" w:rsidRPr="007304B6" w:rsidRDefault="00D86668" w:rsidP="00C11675">
            <w:pPr>
              <w:rPr>
                <w:rFonts w:ascii="Arial Narrow" w:hAnsi="Arial Narrow"/>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14:paraId="5BD4B3AD" w14:textId="77777777" w:rsidR="00D86668" w:rsidRPr="007304B6" w:rsidRDefault="00D86668" w:rsidP="00C11675">
            <w:pPr>
              <w:rPr>
                <w:rFonts w:ascii="Arial Narrow" w:hAnsi="Arial Narrow"/>
                <w:b/>
                <w:bCs/>
                <w:sz w:val="16"/>
                <w:szCs w:val="16"/>
              </w:rPr>
            </w:pPr>
          </w:p>
        </w:tc>
        <w:tc>
          <w:tcPr>
            <w:tcW w:w="5103" w:type="dxa"/>
            <w:vMerge/>
            <w:tcBorders>
              <w:left w:val="single" w:sz="8" w:space="0" w:color="4E67C8"/>
              <w:bottom w:val="single" w:sz="18" w:space="0" w:color="4E67C8"/>
              <w:right w:val="single" w:sz="8" w:space="0" w:color="4E67C8"/>
            </w:tcBorders>
          </w:tcPr>
          <w:p w14:paraId="09FDE033" w14:textId="77777777" w:rsidR="00D86668" w:rsidRPr="007304B6" w:rsidRDefault="00D86668" w:rsidP="00C11675">
            <w:pPr>
              <w:rPr>
                <w:rFonts w:ascii="Arial Narrow" w:hAnsi="Arial Narrow"/>
                <w:b/>
                <w:bCs/>
                <w:sz w:val="16"/>
                <w:szCs w:val="16"/>
              </w:rPr>
            </w:pPr>
          </w:p>
        </w:tc>
      </w:tr>
      <w:tr w:rsidR="00D86668" w:rsidRPr="007304B6" w14:paraId="06D82DC3" w14:textId="77777777" w:rsidTr="00C11675">
        <w:tc>
          <w:tcPr>
            <w:tcW w:w="624" w:type="dxa"/>
            <w:tcBorders>
              <w:top w:val="single" w:sz="8" w:space="0" w:color="4E67C8"/>
              <w:left w:val="single" w:sz="8" w:space="0" w:color="4E67C8"/>
              <w:bottom w:val="single" w:sz="8" w:space="0" w:color="4E67C8"/>
              <w:right w:val="single" w:sz="8" w:space="0" w:color="4E67C8"/>
            </w:tcBorders>
            <w:shd w:val="clear" w:color="auto" w:fill="auto"/>
          </w:tcPr>
          <w:p w14:paraId="5B36270E" w14:textId="77777777" w:rsidR="00D86668" w:rsidRPr="00B338A8" w:rsidRDefault="00D86668" w:rsidP="00C11675">
            <w:pPr>
              <w:rPr>
                <w:sz w:val="16"/>
                <w:szCs w:val="16"/>
              </w:rPr>
            </w:pPr>
            <w:r w:rsidRPr="00B338A8">
              <w:rPr>
                <w:sz w:val="16"/>
                <w:szCs w:val="16"/>
              </w:rPr>
              <w:t>R0206</w:t>
            </w: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14:paraId="4785221F" w14:textId="77777777" w:rsidR="00D86668" w:rsidRPr="00B338A8" w:rsidRDefault="00D86668" w:rsidP="00C11675">
            <w:pPr>
              <w:rPr>
                <w:sz w:val="16"/>
                <w:szCs w:val="16"/>
              </w:rPr>
            </w:pPr>
            <w:r w:rsidRPr="00B338A8">
              <w:rPr>
                <w:sz w:val="16"/>
                <w:szCs w:val="16"/>
              </w:rPr>
              <w:t>Počet podporených RO/SO pre IROP</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14:paraId="597AD787" w14:textId="77777777" w:rsidR="00D86668" w:rsidRPr="00B338A8" w:rsidRDefault="00D86668" w:rsidP="00C11675">
            <w:pPr>
              <w:jc w:val="center"/>
              <w:rPr>
                <w:sz w:val="16"/>
                <w:szCs w:val="16"/>
              </w:rPr>
            </w:pPr>
            <w:r w:rsidRPr="00B338A8">
              <w:rPr>
                <w:sz w:val="16"/>
                <w:szCs w:val="16"/>
              </w:rPr>
              <w:t>počet</w:t>
            </w: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14:paraId="58AB2ED5" w14:textId="77777777" w:rsidR="00D86668" w:rsidRPr="00B338A8" w:rsidRDefault="00D86668" w:rsidP="00C11675">
            <w:pPr>
              <w:jc w:val="center"/>
              <w:rPr>
                <w:sz w:val="16"/>
                <w:szCs w:val="16"/>
              </w:rPr>
            </w:pPr>
            <w:r w:rsidRPr="00B338A8">
              <w:rPr>
                <w:sz w:val="16"/>
                <w:szCs w:val="16"/>
              </w:rPr>
              <w:t>N/A</w:t>
            </w:r>
          </w:p>
        </w:tc>
        <w:tc>
          <w:tcPr>
            <w:tcW w:w="426" w:type="dxa"/>
            <w:tcBorders>
              <w:top w:val="single" w:sz="8" w:space="0" w:color="4E67C8"/>
              <w:left w:val="single" w:sz="8" w:space="0" w:color="4E67C8"/>
              <w:bottom w:val="single" w:sz="8" w:space="0" w:color="4E67C8"/>
              <w:right w:val="single" w:sz="8" w:space="0" w:color="4E67C8"/>
            </w:tcBorders>
            <w:shd w:val="clear" w:color="auto" w:fill="auto"/>
          </w:tcPr>
          <w:p w14:paraId="3A308496" w14:textId="77777777" w:rsidR="00D86668" w:rsidRPr="00B338A8" w:rsidRDefault="00D86668" w:rsidP="00C11675">
            <w:pPr>
              <w:jc w:val="center"/>
              <w:rPr>
                <w:sz w:val="16"/>
                <w:szCs w:val="16"/>
              </w:rPr>
            </w:pPr>
            <w:r w:rsidRPr="00B338A8">
              <w:rPr>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725B34D9" w14:textId="77777777" w:rsidR="00D86668" w:rsidRPr="00B338A8" w:rsidRDefault="00D86668" w:rsidP="00C11675">
            <w:pPr>
              <w:jc w:val="center"/>
              <w:rPr>
                <w:sz w:val="16"/>
                <w:szCs w:val="16"/>
              </w:rPr>
            </w:pPr>
            <w:r w:rsidRPr="00B338A8">
              <w:rPr>
                <w:sz w:val="16"/>
                <w:szCs w:val="16"/>
              </w:rPr>
              <w:t>0</w:t>
            </w:r>
          </w:p>
        </w:tc>
        <w:tc>
          <w:tcPr>
            <w:tcW w:w="991" w:type="dxa"/>
            <w:tcBorders>
              <w:top w:val="single" w:sz="8" w:space="0" w:color="4E67C8"/>
              <w:left w:val="single" w:sz="8" w:space="0" w:color="4E67C8"/>
              <w:bottom w:val="single" w:sz="8" w:space="0" w:color="4E67C8"/>
              <w:right w:val="single" w:sz="8" w:space="0" w:color="4E67C8"/>
            </w:tcBorders>
            <w:shd w:val="clear" w:color="auto" w:fill="auto"/>
          </w:tcPr>
          <w:p w14:paraId="3007582D" w14:textId="77777777" w:rsidR="00D86668" w:rsidRPr="00B338A8" w:rsidRDefault="00D86668" w:rsidP="00C11675">
            <w:pPr>
              <w:jc w:val="center"/>
              <w:rPr>
                <w:sz w:val="16"/>
                <w:szCs w:val="16"/>
              </w:rPr>
            </w:pPr>
            <w:r w:rsidRPr="00B338A8">
              <w:rPr>
                <w:sz w:val="16"/>
                <w:szCs w:val="16"/>
              </w:rPr>
              <w:t>2021</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14:paraId="24CE8D31" w14:textId="77777777" w:rsidR="00D86668" w:rsidRPr="00B338A8" w:rsidRDefault="00D86668" w:rsidP="00C11675">
            <w:pPr>
              <w:jc w:val="center"/>
              <w:rPr>
                <w:sz w:val="16"/>
                <w:szCs w:val="16"/>
              </w:rPr>
            </w:pPr>
            <w:r w:rsidRPr="00B338A8">
              <w:rPr>
                <w:sz w:val="16"/>
                <w:szCs w:val="16"/>
              </w:rPr>
              <w:t>N/A</w:t>
            </w:r>
          </w:p>
        </w:tc>
        <w:tc>
          <w:tcPr>
            <w:tcW w:w="426" w:type="dxa"/>
            <w:tcBorders>
              <w:top w:val="single" w:sz="8" w:space="0" w:color="4E67C8"/>
              <w:left w:val="single" w:sz="8" w:space="0" w:color="4E67C8"/>
              <w:bottom w:val="single" w:sz="8" w:space="0" w:color="4E67C8"/>
              <w:right w:val="single" w:sz="8" w:space="0" w:color="4E67C8"/>
            </w:tcBorders>
            <w:shd w:val="clear" w:color="auto" w:fill="auto"/>
          </w:tcPr>
          <w:p w14:paraId="230B5849" w14:textId="77777777" w:rsidR="00D86668" w:rsidRPr="00B338A8" w:rsidRDefault="00D86668" w:rsidP="00C11675">
            <w:pPr>
              <w:jc w:val="center"/>
              <w:rPr>
                <w:sz w:val="16"/>
                <w:szCs w:val="16"/>
              </w:rPr>
            </w:pPr>
            <w:r w:rsidRPr="00B338A8">
              <w:rPr>
                <w:sz w:val="16"/>
                <w:szCs w:val="16"/>
              </w:rPr>
              <w:t>N/A</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14:paraId="0546A6F0" w14:textId="77777777" w:rsidR="00D86668" w:rsidRPr="00B338A8" w:rsidRDefault="00D86668" w:rsidP="00C11675">
            <w:pPr>
              <w:jc w:val="center"/>
              <w:rPr>
                <w:sz w:val="16"/>
                <w:szCs w:val="16"/>
              </w:rPr>
            </w:pPr>
            <w:r w:rsidRPr="00B338A8">
              <w:rPr>
                <w:sz w:val="16"/>
                <w:szCs w:val="16"/>
              </w:rPr>
              <w:t>16</w:t>
            </w:r>
          </w:p>
        </w:tc>
        <w:tc>
          <w:tcPr>
            <w:tcW w:w="1068" w:type="dxa"/>
            <w:tcBorders>
              <w:top w:val="single" w:sz="8" w:space="0" w:color="4E67C8"/>
              <w:left w:val="single" w:sz="8" w:space="0" w:color="4E67C8"/>
              <w:bottom w:val="single" w:sz="8" w:space="0" w:color="4E67C8"/>
              <w:right w:val="single" w:sz="8" w:space="0" w:color="4E67C8"/>
            </w:tcBorders>
            <w:shd w:val="clear" w:color="auto" w:fill="auto"/>
          </w:tcPr>
          <w:p w14:paraId="027F046E" w14:textId="77777777" w:rsidR="00D86668" w:rsidRPr="00B338A8" w:rsidRDefault="00D86668" w:rsidP="00C11675">
            <w:pPr>
              <w:jc w:val="center"/>
              <w:rPr>
                <w:sz w:val="16"/>
                <w:szCs w:val="16"/>
              </w:rPr>
            </w:pPr>
            <w:r w:rsidRPr="00B338A8">
              <w:rPr>
                <w:sz w:val="16"/>
                <w:szCs w:val="16"/>
              </w:rPr>
              <w:t>RO pre IROP</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14:paraId="5DD9AF20" w14:textId="77777777" w:rsidR="00D86668" w:rsidRPr="00B338A8" w:rsidRDefault="00D86668" w:rsidP="00C11675">
            <w:pPr>
              <w:jc w:val="center"/>
              <w:rPr>
                <w:sz w:val="16"/>
                <w:szCs w:val="16"/>
              </w:rPr>
            </w:pPr>
            <w:r w:rsidRPr="00B338A8">
              <w:rPr>
                <w:sz w:val="16"/>
                <w:szCs w:val="16"/>
              </w:rPr>
              <w:t>ročne</w:t>
            </w:r>
          </w:p>
        </w:tc>
        <w:tc>
          <w:tcPr>
            <w:tcW w:w="5103" w:type="dxa"/>
            <w:tcBorders>
              <w:top w:val="single" w:sz="8" w:space="0" w:color="4E67C8"/>
              <w:left w:val="single" w:sz="8" w:space="0" w:color="4E67C8"/>
              <w:bottom w:val="single" w:sz="8" w:space="0" w:color="4E67C8"/>
              <w:right w:val="single" w:sz="8" w:space="0" w:color="4E67C8"/>
            </w:tcBorders>
          </w:tcPr>
          <w:p w14:paraId="03203D31" w14:textId="77777777" w:rsidR="00D86668" w:rsidRPr="00B338A8" w:rsidRDefault="00D86668" w:rsidP="00C11675">
            <w:pPr>
              <w:jc w:val="both"/>
              <w:rPr>
                <w:sz w:val="16"/>
                <w:szCs w:val="16"/>
              </w:rPr>
            </w:pPr>
            <w:r>
              <w:rPr>
                <w:sz w:val="16"/>
                <w:szCs w:val="16"/>
              </w:rPr>
              <w:t>Navýšenie cieľovej hodnoty ukazovateľa vyplynulo z doplnenia RO pre IROP ako prijímateľa prostriedkov technickej pomoci z REACT-EÚ v nadväznosti na skutočnosť, že RO pre IROP implementuje aktivity prioritnej osi 7. Navýšená alokácia bude použitá na refundáciu mzdových výdavkov zamestnancov RO pre IROP.</w:t>
            </w:r>
          </w:p>
        </w:tc>
      </w:tr>
    </w:tbl>
    <w:p w14:paraId="2E6044B8" w14:textId="77777777" w:rsidR="00D86668" w:rsidRDefault="00D86668" w:rsidP="00D86668">
      <w:pPr>
        <w:rPr>
          <w:rStyle w:val="Zvraznenie"/>
          <w:sz w:val="16"/>
          <w:szCs w:val="16"/>
        </w:rPr>
      </w:pPr>
    </w:p>
    <w:p w14:paraId="204EA346" w14:textId="77777777" w:rsidR="00D86668" w:rsidRPr="00B338A8" w:rsidRDefault="00D86668" w:rsidP="00D86668">
      <w:pPr>
        <w:pStyle w:val="Odsekzoznamu"/>
        <w:spacing w:before="120" w:after="0" w:line="240" w:lineRule="auto"/>
        <w:ind w:left="0"/>
        <w:jc w:val="both"/>
        <w:rPr>
          <w:rStyle w:val="Zvraznenie"/>
          <w:rFonts w:ascii="Arial" w:hAnsi="Arial" w:cs="Arial"/>
          <w:sz w:val="16"/>
          <w:szCs w:val="16"/>
        </w:rPr>
      </w:pPr>
      <w:r w:rsidRPr="00B338A8">
        <w:rPr>
          <w:rStyle w:val="Zvraznenie"/>
          <w:rFonts w:ascii="Arial" w:hAnsi="Arial" w:cs="Arial"/>
          <w:sz w:val="16"/>
          <w:szCs w:val="16"/>
        </w:rPr>
        <w:t xml:space="preserve">Výstupový ukazovateľ </w:t>
      </w:r>
      <w:r>
        <w:rPr>
          <w:rStyle w:val="Zvraznenie"/>
          <w:rFonts w:ascii="Arial" w:hAnsi="Arial" w:cs="Arial"/>
          <w:sz w:val="16"/>
          <w:szCs w:val="16"/>
        </w:rPr>
        <w:t xml:space="preserve">pre prioritnú os 8. </w:t>
      </w:r>
    </w:p>
    <w:p w14:paraId="03DA7027" w14:textId="77777777" w:rsidR="00D86668" w:rsidRDefault="00D86668" w:rsidP="00D86668">
      <w:pPr>
        <w:pStyle w:val="Odsekzoznamu"/>
        <w:spacing w:before="120" w:after="0" w:line="240" w:lineRule="auto"/>
        <w:ind w:left="0"/>
        <w:jc w:val="both"/>
        <w:rPr>
          <w:rFonts w:ascii="Arial" w:hAnsi="Arial" w:cs="Arial"/>
          <w:b/>
          <w:i/>
          <w:sz w:val="16"/>
          <w:szCs w:val="16"/>
        </w:rPr>
      </w:pPr>
    </w:p>
    <w:p w14:paraId="6E0D32BA" w14:textId="77777777" w:rsidR="00D86668" w:rsidRDefault="00D86668" w:rsidP="00D86668">
      <w:pPr>
        <w:pStyle w:val="Odsekzoznamu"/>
        <w:spacing w:before="120" w:after="0" w:line="240" w:lineRule="auto"/>
        <w:ind w:left="0"/>
        <w:jc w:val="both"/>
        <w:rPr>
          <w:rFonts w:ascii="Arial" w:hAnsi="Arial" w:cs="Arial"/>
          <w:b/>
          <w:i/>
          <w:sz w:val="16"/>
          <w:szCs w:val="16"/>
        </w:rPr>
      </w:pPr>
    </w:p>
    <w:tbl>
      <w:tblPr>
        <w:tblW w:w="14449"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959"/>
        <w:gridCol w:w="2410"/>
        <w:gridCol w:w="1408"/>
        <w:gridCol w:w="736"/>
        <w:gridCol w:w="736"/>
        <w:gridCol w:w="739"/>
        <w:gridCol w:w="2192"/>
        <w:gridCol w:w="5269"/>
      </w:tblGrid>
      <w:tr w:rsidR="00D86668" w:rsidRPr="007304B6" w14:paraId="20A37E68" w14:textId="77777777" w:rsidTr="00C11675">
        <w:trPr>
          <w:trHeight w:val="128"/>
        </w:trPr>
        <w:tc>
          <w:tcPr>
            <w:tcW w:w="959" w:type="dxa"/>
            <w:vMerge w:val="restart"/>
            <w:tcBorders>
              <w:top w:val="single" w:sz="8" w:space="0" w:color="4E67C8"/>
              <w:left w:val="single" w:sz="8" w:space="0" w:color="4E67C8"/>
              <w:right w:val="single" w:sz="8" w:space="0" w:color="4E67C8"/>
            </w:tcBorders>
            <w:shd w:val="clear" w:color="auto" w:fill="auto"/>
            <w:vAlign w:val="center"/>
          </w:tcPr>
          <w:p w14:paraId="0B5FEA02" w14:textId="77777777" w:rsidR="00D86668" w:rsidRPr="007304B6" w:rsidRDefault="00D86668" w:rsidP="00C11675">
            <w:pPr>
              <w:jc w:val="center"/>
              <w:rPr>
                <w:b/>
                <w:sz w:val="16"/>
                <w:szCs w:val="16"/>
              </w:rPr>
            </w:pPr>
            <w:r w:rsidRPr="007304B6">
              <w:rPr>
                <w:b/>
                <w:sz w:val="16"/>
                <w:szCs w:val="16"/>
              </w:rPr>
              <w:t>ID</w:t>
            </w:r>
          </w:p>
        </w:tc>
        <w:tc>
          <w:tcPr>
            <w:tcW w:w="2410" w:type="dxa"/>
            <w:vMerge w:val="restart"/>
            <w:tcBorders>
              <w:top w:val="single" w:sz="8" w:space="0" w:color="4E67C8"/>
              <w:left w:val="single" w:sz="8" w:space="0" w:color="4E67C8"/>
              <w:right w:val="single" w:sz="8" w:space="0" w:color="4E67C8"/>
            </w:tcBorders>
            <w:shd w:val="clear" w:color="auto" w:fill="auto"/>
            <w:vAlign w:val="center"/>
          </w:tcPr>
          <w:p w14:paraId="79A0F982" w14:textId="77777777" w:rsidR="00D86668" w:rsidRPr="007304B6" w:rsidRDefault="00D86668" w:rsidP="00C11675">
            <w:pPr>
              <w:tabs>
                <w:tab w:val="right" w:pos="2006"/>
              </w:tabs>
              <w:jc w:val="center"/>
              <w:rPr>
                <w:b/>
                <w:sz w:val="16"/>
                <w:szCs w:val="16"/>
              </w:rPr>
            </w:pPr>
            <w:r w:rsidRPr="007304B6">
              <w:rPr>
                <w:b/>
                <w:sz w:val="16"/>
                <w:szCs w:val="16"/>
              </w:rPr>
              <w:t>Ukazovateľ</w:t>
            </w:r>
          </w:p>
        </w:tc>
        <w:tc>
          <w:tcPr>
            <w:tcW w:w="1408" w:type="dxa"/>
            <w:vMerge w:val="restart"/>
            <w:tcBorders>
              <w:top w:val="single" w:sz="8" w:space="0" w:color="4E67C8"/>
              <w:left w:val="single" w:sz="8" w:space="0" w:color="4E67C8"/>
              <w:right w:val="single" w:sz="8" w:space="0" w:color="4E67C8"/>
            </w:tcBorders>
            <w:shd w:val="clear" w:color="auto" w:fill="auto"/>
            <w:vAlign w:val="center"/>
          </w:tcPr>
          <w:p w14:paraId="2F90E591" w14:textId="77777777" w:rsidR="00D86668" w:rsidRPr="007304B6" w:rsidRDefault="00D86668" w:rsidP="00C11675">
            <w:pPr>
              <w:jc w:val="center"/>
              <w:rPr>
                <w:b/>
                <w:sz w:val="16"/>
                <w:szCs w:val="16"/>
              </w:rPr>
            </w:pPr>
            <w:r w:rsidRPr="007304B6">
              <w:rPr>
                <w:b/>
                <w:sz w:val="16"/>
                <w:szCs w:val="16"/>
              </w:rPr>
              <w:t>Merná jednotka</w:t>
            </w:r>
          </w:p>
        </w:tc>
        <w:tc>
          <w:tcPr>
            <w:tcW w:w="2211" w:type="dxa"/>
            <w:gridSpan w:val="3"/>
            <w:tcBorders>
              <w:top w:val="single" w:sz="8" w:space="0" w:color="4E67C8"/>
              <w:left w:val="single" w:sz="8" w:space="0" w:color="4E67C8"/>
              <w:bottom w:val="single" w:sz="18" w:space="0" w:color="4E67C8"/>
              <w:right w:val="single" w:sz="8" w:space="0" w:color="4E67C8"/>
            </w:tcBorders>
            <w:shd w:val="clear" w:color="auto" w:fill="auto"/>
            <w:vAlign w:val="center"/>
          </w:tcPr>
          <w:p w14:paraId="64C3B088" w14:textId="77777777" w:rsidR="00D86668" w:rsidRPr="007304B6" w:rsidRDefault="00D86668" w:rsidP="00C11675">
            <w:pPr>
              <w:jc w:val="center"/>
              <w:rPr>
                <w:b/>
                <w:sz w:val="16"/>
                <w:szCs w:val="16"/>
              </w:rPr>
            </w:pPr>
            <w:r w:rsidRPr="007304B6">
              <w:rPr>
                <w:b/>
                <w:sz w:val="16"/>
                <w:szCs w:val="16"/>
              </w:rPr>
              <w:t>Cieľová hodnota (2023)</w:t>
            </w:r>
          </w:p>
        </w:tc>
        <w:tc>
          <w:tcPr>
            <w:tcW w:w="2192" w:type="dxa"/>
            <w:vMerge w:val="restart"/>
            <w:tcBorders>
              <w:top w:val="single" w:sz="8" w:space="0" w:color="4E67C8"/>
              <w:left w:val="single" w:sz="8" w:space="0" w:color="4E67C8"/>
              <w:right w:val="single" w:sz="8" w:space="0" w:color="4E67C8"/>
            </w:tcBorders>
            <w:shd w:val="clear" w:color="auto" w:fill="auto"/>
            <w:vAlign w:val="center"/>
          </w:tcPr>
          <w:p w14:paraId="42584ED6" w14:textId="77777777" w:rsidR="00D86668" w:rsidRPr="007304B6" w:rsidRDefault="00D86668" w:rsidP="00C11675">
            <w:pPr>
              <w:jc w:val="center"/>
              <w:rPr>
                <w:b/>
                <w:sz w:val="16"/>
                <w:szCs w:val="16"/>
              </w:rPr>
            </w:pPr>
            <w:r w:rsidRPr="007304B6">
              <w:rPr>
                <w:b/>
                <w:sz w:val="16"/>
                <w:szCs w:val="16"/>
              </w:rPr>
              <w:t>Zdroj údajov</w:t>
            </w:r>
          </w:p>
        </w:tc>
        <w:tc>
          <w:tcPr>
            <w:tcW w:w="5269" w:type="dxa"/>
            <w:vMerge w:val="restart"/>
            <w:tcBorders>
              <w:top w:val="single" w:sz="8" w:space="0" w:color="4E67C8"/>
              <w:left w:val="single" w:sz="8" w:space="0" w:color="4E67C8"/>
              <w:right w:val="single" w:sz="8" w:space="0" w:color="4E67C8"/>
            </w:tcBorders>
          </w:tcPr>
          <w:p w14:paraId="50D54421" w14:textId="77777777" w:rsidR="00D86668" w:rsidRPr="007304B6" w:rsidRDefault="00D86668" w:rsidP="00C11675">
            <w:pPr>
              <w:jc w:val="center"/>
              <w:rPr>
                <w:b/>
                <w:sz w:val="16"/>
                <w:szCs w:val="16"/>
              </w:rPr>
            </w:pPr>
            <w:r w:rsidRPr="008975D9">
              <w:rPr>
                <w:b/>
                <w:bCs/>
                <w:sz w:val="16"/>
                <w:szCs w:val="16"/>
              </w:rPr>
              <w:t>Zdôvodnenie</w:t>
            </w:r>
          </w:p>
        </w:tc>
      </w:tr>
      <w:tr w:rsidR="00D86668" w:rsidRPr="007304B6" w14:paraId="50521EF4" w14:textId="77777777" w:rsidTr="00C11675">
        <w:trPr>
          <w:trHeight w:val="127"/>
        </w:trPr>
        <w:tc>
          <w:tcPr>
            <w:tcW w:w="959" w:type="dxa"/>
            <w:vMerge/>
            <w:tcBorders>
              <w:left w:val="single" w:sz="8" w:space="0" w:color="4E67C8"/>
              <w:bottom w:val="single" w:sz="18" w:space="0" w:color="4E67C8"/>
              <w:right w:val="single" w:sz="8" w:space="0" w:color="4E67C8"/>
            </w:tcBorders>
            <w:shd w:val="clear" w:color="auto" w:fill="auto"/>
          </w:tcPr>
          <w:p w14:paraId="3B351C25" w14:textId="77777777" w:rsidR="00D86668" w:rsidRPr="007304B6" w:rsidRDefault="00D86668" w:rsidP="00C11675">
            <w:pPr>
              <w:rPr>
                <w:b/>
                <w:sz w:val="16"/>
                <w:szCs w:val="16"/>
              </w:rPr>
            </w:pPr>
          </w:p>
        </w:tc>
        <w:tc>
          <w:tcPr>
            <w:tcW w:w="2410" w:type="dxa"/>
            <w:vMerge/>
            <w:tcBorders>
              <w:left w:val="single" w:sz="8" w:space="0" w:color="4E67C8"/>
              <w:bottom w:val="single" w:sz="18" w:space="0" w:color="4E67C8"/>
              <w:right w:val="single" w:sz="8" w:space="0" w:color="4E67C8"/>
            </w:tcBorders>
            <w:shd w:val="clear" w:color="auto" w:fill="auto"/>
          </w:tcPr>
          <w:p w14:paraId="7F859267" w14:textId="77777777" w:rsidR="00D86668" w:rsidRPr="007304B6" w:rsidRDefault="00D86668" w:rsidP="00C11675">
            <w:pPr>
              <w:tabs>
                <w:tab w:val="right" w:pos="2006"/>
              </w:tabs>
              <w:rPr>
                <w:b/>
                <w:sz w:val="16"/>
                <w:szCs w:val="16"/>
              </w:rPr>
            </w:pPr>
          </w:p>
        </w:tc>
        <w:tc>
          <w:tcPr>
            <w:tcW w:w="1408" w:type="dxa"/>
            <w:vMerge/>
            <w:tcBorders>
              <w:left w:val="single" w:sz="8" w:space="0" w:color="4E67C8"/>
              <w:bottom w:val="single" w:sz="18" w:space="0" w:color="4E67C8"/>
              <w:right w:val="single" w:sz="8" w:space="0" w:color="4E67C8"/>
            </w:tcBorders>
            <w:shd w:val="clear" w:color="auto" w:fill="auto"/>
          </w:tcPr>
          <w:p w14:paraId="424E66E3" w14:textId="77777777" w:rsidR="00D86668" w:rsidRPr="007304B6" w:rsidRDefault="00D86668" w:rsidP="00C11675">
            <w:pPr>
              <w:rPr>
                <w:b/>
                <w:sz w:val="16"/>
                <w:szCs w:val="16"/>
              </w:rPr>
            </w:pPr>
          </w:p>
        </w:tc>
        <w:tc>
          <w:tcPr>
            <w:tcW w:w="736"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4CDFAD7" w14:textId="77777777" w:rsidR="00D86668" w:rsidRPr="007304B6" w:rsidRDefault="00D86668" w:rsidP="00C11675">
            <w:pPr>
              <w:jc w:val="center"/>
              <w:rPr>
                <w:b/>
                <w:sz w:val="16"/>
                <w:szCs w:val="16"/>
              </w:rPr>
            </w:pPr>
            <w:r w:rsidRPr="007304B6">
              <w:rPr>
                <w:b/>
                <w:sz w:val="16"/>
                <w:szCs w:val="16"/>
              </w:rPr>
              <w:t>M</w:t>
            </w:r>
          </w:p>
        </w:tc>
        <w:tc>
          <w:tcPr>
            <w:tcW w:w="736"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7D1CE4EA" w14:textId="77777777" w:rsidR="00D86668" w:rsidRPr="007304B6" w:rsidRDefault="00D86668" w:rsidP="00C11675">
            <w:pPr>
              <w:jc w:val="center"/>
              <w:rPr>
                <w:b/>
                <w:sz w:val="16"/>
                <w:szCs w:val="16"/>
              </w:rPr>
            </w:pPr>
            <w:r w:rsidRPr="007304B6">
              <w:rPr>
                <w:b/>
                <w:sz w:val="16"/>
                <w:szCs w:val="16"/>
              </w:rPr>
              <w:t>Ž</w:t>
            </w:r>
          </w:p>
        </w:tc>
        <w:tc>
          <w:tcPr>
            <w:tcW w:w="739" w:type="dxa"/>
            <w:tcBorders>
              <w:top w:val="single" w:sz="8" w:space="0" w:color="4E67C8"/>
              <w:left w:val="single" w:sz="8" w:space="0" w:color="4E67C8"/>
              <w:bottom w:val="single" w:sz="18" w:space="0" w:color="4E67C8"/>
              <w:right w:val="single" w:sz="8" w:space="0" w:color="4E67C8"/>
            </w:tcBorders>
            <w:shd w:val="clear" w:color="auto" w:fill="auto"/>
            <w:vAlign w:val="center"/>
          </w:tcPr>
          <w:p w14:paraId="5886EAE7" w14:textId="77777777" w:rsidR="00D86668" w:rsidRPr="007304B6" w:rsidRDefault="00D86668" w:rsidP="00C11675">
            <w:pPr>
              <w:jc w:val="center"/>
              <w:rPr>
                <w:b/>
                <w:sz w:val="16"/>
                <w:szCs w:val="16"/>
              </w:rPr>
            </w:pPr>
            <w:r w:rsidRPr="007304B6">
              <w:rPr>
                <w:b/>
                <w:sz w:val="16"/>
                <w:szCs w:val="16"/>
              </w:rPr>
              <w:t>M+Ž</w:t>
            </w:r>
          </w:p>
        </w:tc>
        <w:tc>
          <w:tcPr>
            <w:tcW w:w="2192" w:type="dxa"/>
            <w:vMerge/>
            <w:tcBorders>
              <w:left w:val="single" w:sz="8" w:space="0" w:color="4E67C8"/>
              <w:bottom w:val="single" w:sz="18" w:space="0" w:color="4E67C8"/>
              <w:right w:val="single" w:sz="8" w:space="0" w:color="4E67C8"/>
            </w:tcBorders>
            <w:shd w:val="clear" w:color="auto" w:fill="auto"/>
          </w:tcPr>
          <w:p w14:paraId="4AEE9089" w14:textId="77777777" w:rsidR="00D86668" w:rsidRPr="007304B6" w:rsidRDefault="00D86668" w:rsidP="00C11675">
            <w:pPr>
              <w:rPr>
                <w:b/>
                <w:sz w:val="16"/>
                <w:szCs w:val="16"/>
              </w:rPr>
            </w:pPr>
          </w:p>
        </w:tc>
        <w:tc>
          <w:tcPr>
            <w:tcW w:w="5269" w:type="dxa"/>
            <w:vMerge/>
            <w:tcBorders>
              <w:left w:val="single" w:sz="8" w:space="0" w:color="4E67C8"/>
              <w:bottom w:val="single" w:sz="18" w:space="0" w:color="4E67C8"/>
              <w:right w:val="single" w:sz="8" w:space="0" w:color="4E67C8"/>
            </w:tcBorders>
          </w:tcPr>
          <w:p w14:paraId="3D2BB1D5" w14:textId="77777777" w:rsidR="00D86668" w:rsidRPr="007304B6" w:rsidRDefault="00D86668" w:rsidP="00C11675">
            <w:pPr>
              <w:rPr>
                <w:b/>
                <w:sz w:val="16"/>
                <w:szCs w:val="16"/>
              </w:rPr>
            </w:pPr>
          </w:p>
        </w:tc>
      </w:tr>
      <w:tr w:rsidR="00D86668" w:rsidRPr="007304B6" w14:paraId="567502FE" w14:textId="77777777" w:rsidTr="00C11675">
        <w:trPr>
          <w:trHeight w:val="248"/>
        </w:trPr>
        <w:tc>
          <w:tcPr>
            <w:tcW w:w="959" w:type="dxa"/>
            <w:tcBorders>
              <w:top w:val="single" w:sz="8" w:space="0" w:color="4E67C8"/>
              <w:left w:val="single" w:sz="8" w:space="0" w:color="4E67C8"/>
              <w:bottom w:val="single" w:sz="8" w:space="0" w:color="4E67C8"/>
              <w:right w:val="single" w:sz="8" w:space="0" w:color="4E67C8"/>
            </w:tcBorders>
            <w:shd w:val="clear" w:color="auto" w:fill="auto"/>
          </w:tcPr>
          <w:p w14:paraId="797A6A07" w14:textId="77777777" w:rsidR="00D86668" w:rsidRPr="007304B6" w:rsidRDefault="00D86668" w:rsidP="00C11675">
            <w:pPr>
              <w:rPr>
                <w:bCs/>
                <w:sz w:val="16"/>
                <w:szCs w:val="16"/>
              </w:rPr>
            </w:pPr>
            <w:r w:rsidRPr="007304B6">
              <w:rPr>
                <w:bCs/>
                <w:sz w:val="16"/>
                <w:szCs w:val="16"/>
              </w:rPr>
              <w:t>O0320</w:t>
            </w:r>
          </w:p>
        </w:tc>
        <w:tc>
          <w:tcPr>
            <w:tcW w:w="2410" w:type="dxa"/>
            <w:tcBorders>
              <w:top w:val="single" w:sz="8" w:space="0" w:color="4E67C8"/>
              <w:left w:val="single" w:sz="8" w:space="0" w:color="4E67C8"/>
              <w:bottom w:val="single" w:sz="8" w:space="0" w:color="4E67C8"/>
              <w:right w:val="single" w:sz="8" w:space="0" w:color="4E67C8"/>
            </w:tcBorders>
            <w:shd w:val="clear" w:color="auto" w:fill="auto"/>
          </w:tcPr>
          <w:p w14:paraId="68428441" w14:textId="77777777" w:rsidR="00D86668" w:rsidRPr="007304B6" w:rsidRDefault="00D86668" w:rsidP="00C11675">
            <w:pPr>
              <w:rPr>
                <w:sz w:val="16"/>
                <w:szCs w:val="16"/>
              </w:rPr>
            </w:pPr>
            <w:r w:rsidRPr="007304B6">
              <w:rPr>
                <w:sz w:val="16"/>
                <w:szCs w:val="16"/>
              </w:rPr>
              <w:t xml:space="preserve">Priemerný počet  refundovaných AK na </w:t>
            </w:r>
            <w:r>
              <w:rPr>
                <w:sz w:val="16"/>
                <w:szCs w:val="16"/>
              </w:rPr>
              <w:t>RO/</w:t>
            </w:r>
            <w:r w:rsidRPr="007304B6">
              <w:rPr>
                <w:sz w:val="16"/>
                <w:szCs w:val="16"/>
              </w:rPr>
              <w:t>SO pre IROP</w:t>
            </w:r>
          </w:p>
        </w:tc>
        <w:tc>
          <w:tcPr>
            <w:tcW w:w="1408" w:type="dxa"/>
            <w:tcBorders>
              <w:top w:val="single" w:sz="8" w:space="0" w:color="4E67C8"/>
              <w:left w:val="single" w:sz="8" w:space="0" w:color="4E67C8"/>
              <w:bottom w:val="single" w:sz="8" w:space="0" w:color="4E67C8"/>
              <w:right w:val="single" w:sz="8" w:space="0" w:color="4E67C8"/>
            </w:tcBorders>
            <w:shd w:val="clear" w:color="auto" w:fill="auto"/>
            <w:vAlign w:val="center"/>
          </w:tcPr>
          <w:p w14:paraId="5AD8993D" w14:textId="77777777" w:rsidR="00D86668" w:rsidRPr="007304B6" w:rsidRDefault="00D86668" w:rsidP="00C11675">
            <w:pPr>
              <w:jc w:val="center"/>
              <w:rPr>
                <w:sz w:val="16"/>
                <w:szCs w:val="16"/>
              </w:rPr>
            </w:pPr>
            <w:proofErr w:type="spellStart"/>
            <w:r w:rsidRPr="007304B6">
              <w:rPr>
                <w:sz w:val="16"/>
                <w:szCs w:val="16"/>
              </w:rPr>
              <w:t>FTEs</w:t>
            </w:r>
            <w:proofErr w:type="spellEnd"/>
          </w:p>
        </w:tc>
        <w:tc>
          <w:tcPr>
            <w:tcW w:w="73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427B9B04" w14:textId="77777777" w:rsidR="00D86668" w:rsidRPr="007304B6" w:rsidRDefault="00D86668" w:rsidP="00C11675">
            <w:pPr>
              <w:jc w:val="center"/>
              <w:rPr>
                <w:sz w:val="16"/>
                <w:szCs w:val="16"/>
              </w:rPr>
            </w:pPr>
            <w:r w:rsidRPr="007304B6">
              <w:rPr>
                <w:sz w:val="16"/>
                <w:szCs w:val="16"/>
              </w:rPr>
              <w:t>N/A</w:t>
            </w:r>
          </w:p>
        </w:tc>
        <w:tc>
          <w:tcPr>
            <w:tcW w:w="736" w:type="dxa"/>
            <w:tcBorders>
              <w:top w:val="single" w:sz="8" w:space="0" w:color="4E67C8"/>
              <w:left w:val="single" w:sz="8" w:space="0" w:color="4E67C8"/>
              <w:bottom w:val="single" w:sz="8" w:space="0" w:color="4E67C8"/>
              <w:right w:val="single" w:sz="8" w:space="0" w:color="4E67C8"/>
            </w:tcBorders>
            <w:shd w:val="clear" w:color="auto" w:fill="auto"/>
            <w:vAlign w:val="center"/>
          </w:tcPr>
          <w:p w14:paraId="1AF6CAD6" w14:textId="77777777" w:rsidR="00D86668" w:rsidRPr="007304B6" w:rsidRDefault="00D86668" w:rsidP="00C11675">
            <w:pPr>
              <w:jc w:val="center"/>
              <w:rPr>
                <w:sz w:val="16"/>
                <w:szCs w:val="16"/>
              </w:rPr>
            </w:pPr>
            <w:r w:rsidRPr="007304B6">
              <w:rPr>
                <w:sz w:val="16"/>
                <w:szCs w:val="16"/>
              </w:rPr>
              <w:t>N/A</w:t>
            </w:r>
          </w:p>
        </w:tc>
        <w:tc>
          <w:tcPr>
            <w:tcW w:w="739" w:type="dxa"/>
            <w:tcBorders>
              <w:top w:val="single" w:sz="8" w:space="0" w:color="4E67C8"/>
              <w:left w:val="single" w:sz="8" w:space="0" w:color="4E67C8"/>
              <w:bottom w:val="single" w:sz="8" w:space="0" w:color="4E67C8"/>
              <w:right w:val="single" w:sz="8" w:space="0" w:color="4E67C8"/>
            </w:tcBorders>
            <w:shd w:val="clear" w:color="auto" w:fill="auto"/>
            <w:vAlign w:val="center"/>
          </w:tcPr>
          <w:p w14:paraId="08D03A2E" w14:textId="77777777" w:rsidR="00D86668" w:rsidRPr="007304B6" w:rsidRDefault="00D86668" w:rsidP="00C11675">
            <w:pPr>
              <w:jc w:val="center"/>
              <w:rPr>
                <w:sz w:val="16"/>
                <w:szCs w:val="16"/>
              </w:rPr>
            </w:pPr>
            <w:r>
              <w:rPr>
                <w:sz w:val="16"/>
                <w:szCs w:val="16"/>
              </w:rPr>
              <w:t>131</w:t>
            </w:r>
          </w:p>
        </w:tc>
        <w:tc>
          <w:tcPr>
            <w:tcW w:w="2192" w:type="dxa"/>
            <w:tcBorders>
              <w:top w:val="single" w:sz="8" w:space="0" w:color="4E67C8"/>
              <w:left w:val="single" w:sz="8" w:space="0" w:color="4E67C8"/>
              <w:bottom w:val="single" w:sz="8" w:space="0" w:color="4E67C8"/>
              <w:right w:val="single" w:sz="8" w:space="0" w:color="4E67C8"/>
            </w:tcBorders>
            <w:shd w:val="clear" w:color="auto" w:fill="auto"/>
            <w:vAlign w:val="center"/>
          </w:tcPr>
          <w:p w14:paraId="3754A04C" w14:textId="77777777" w:rsidR="00D86668" w:rsidRPr="007304B6" w:rsidRDefault="00D86668" w:rsidP="00C11675">
            <w:pPr>
              <w:jc w:val="center"/>
              <w:rPr>
                <w:sz w:val="16"/>
                <w:szCs w:val="16"/>
              </w:rPr>
            </w:pPr>
            <w:r w:rsidRPr="007304B6">
              <w:rPr>
                <w:sz w:val="16"/>
                <w:szCs w:val="16"/>
              </w:rPr>
              <w:t>RO pre IROP</w:t>
            </w:r>
          </w:p>
        </w:tc>
        <w:tc>
          <w:tcPr>
            <w:tcW w:w="5269" w:type="dxa"/>
            <w:tcBorders>
              <w:top w:val="single" w:sz="8" w:space="0" w:color="4E67C8"/>
              <w:left w:val="single" w:sz="8" w:space="0" w:color="4E67C8"/>
              <w:bottom w:val="single" w:sz="8" w:space="0" w:color="4E67C8"/>
              <w:right w:val="single" w:sz="8" w:space="0" w:color="4E67C8"/>
            </w:tcBorders>
          </w:tcPr>
          <w:p w14:paraId="4496562E" w14:textId="77777777" w:rsidR="00D86668" w:rsidRPr="007304B6" w:rsidRDefault="00D86668" w:rsidP="00C11675">
            <w:pPr>
              <w:jc w:val="both"/>
              <w:rPr>
                <w:sz w:val="16"/>
                <w:szCs w:val="16"/>
              </w:rPr>
            </w:pPr>
            <w:r>
              <w:rPr>
                <w:sz w:val="16"/>
                <w:szCs w:val="16"/>
              </w:rPr>
              <w:t xml:space="preserve">Cieľová hodnota ukazovateľa bola upravená v nadväznosti na doplnenie RO pre IROP ako prijímateľa technickej pomoci. Navýšenie hodnoty zodpovedá priemernej mesačnej super hrubej mzdy v národnom hospodárstve potrebnej na refundáciu mzdových výdavkov administratívnych kapacít. </w:t>
            </w:r>
          </w:p>
        </w:tc>
      </w:tr>
    </w:tbl>
    <w:p w14:paraId="7F3EDAEA" w14:textId="41EC93F0" w:rsidR="00377D51" w:rsidRDefault="00377D51" w:rsidP="00377D51">
      <w:pPr>
        <w:spacing w:before="240" w:after="120"/>
        <w:jc w:val="both"/>
        <w:rPr>
          <w:rFonts w:ascii="Arial Narrow" w:hAnsi="Arial Narrow"/>
        </w:rPr>
      </w:pPr>
    </w:p>
    <w:p w14:paraId="48392BB7" w14:textId="77777777" w:rsidR="00377D51" w:rsidRDefault="00377D51" w:rsidP="00377D51">
      <w:pPr>
        <w:spacing w:before="240" w:after="120"/>
        <w:jc w:val="both"/>
        <w:rPr>
          <w:rFonts w:ascii="Arial Narrow" w:hAnsi="Arial Narrow"/>
          <w:b/>
        </w:rPr>
        <w:sectPr w:rsidR="00377D51" w:rsidSect="00377D51">
          <w:pgSz w:w="16838" w:h="11906" w:orient="landscape"/>
          <w:pgMar w:top="1247" w:right="1276" w:bottom="992" w:left="1134" w:header="709" w:footer="544" w:gutter="0"/>
          <w:cols w:space="708"/>
          <w:docGrid w:linePitch="360"/>
        </w:sectPr>
      </w:pPr>
    </w:p>
    <w:p w14:paraId="034D2AFF" w14:textId="77777777" w:rsidR="00377D51" w:rsidRPr="00D073D5" w:rsidRDefault="00377D51" w:rsidP="00377D51">
      <w:pPr>
        <w:pStyle w:val="Odsekzoznamu"/>
        <w:numPr>
          <w:ilvl w:val="0"/>
          <w:numId w:val="28"/>
        </w:numPr>
        <w:spacing w:before="240" w:after="120" w:line="240" w:lineRule="auto"/>
        <w:ind w:left="284" w:hanging="284"/>
        <w:contextualSpacing w:val="0"/>
        <w:jc w:val="both"/>
        <w:rPr>
          <w:rFonts w:ascii="Arial" w:hAnsi="Arial" w:cs="Arial"/>
          <w:b/>
        </w:rPr>
      </w:pPr>
      <w:r w:rsidRPr="00D073D5">
        <w:rPr>
          <w:rFonts w:ascii="Arial" w:hAnsi="Arial" w:cs="Arial"/>
          <w:b/>
        </w:rPr>
        <w:lastRenderedPageBreak/>
        <w:t>Doplnenie prvkov implementačnej štruktúry OP Slovensko v rámci prioritnej osi 8 – Technická pomoc – REACT-EÚ</w:t>
      </w:r>
    </w:p>
    <w:p w14:paraId="42772C90" w14:textId="77777777" w:rsidR="00377D51" w:rsidRPr="00D073D5" w:rsidRDefault="00377D51" w:rsidP="0087675E">
      <w:pPr>
        <w:spacing w:before="120" w:line="276" w:lineRule="auto"/>
        <w:jc w:val="both"/>
        <w:rPr>
          <w:sz w:val="22"/>
          <w:szCs w:val="22"/>
        </w:rPr>
      </w:pPr>
      <w:r w:rsidRPr="00D073D5">
        <w:rPr>
          <w:sz w:val="22"/>
          <w:szCs w:val="22"/>
        </w:rPr>
        <w:t xml:space="preserve">Vzhľadom prípravu implementačných mechanizmov na realizáciu IÚS v programovacom období 2021- 2027 vznikla potreba zriadenia Technických sekretariátov a podporenia administratívnych kapacít UMR s cieľom zabezpečiť plynulé rozbehnutie nového programového obdobia. Pričom z prostriedkov IROP budú financované len v prechodnom období. </w:t>
      </w:r>
    </w:p>
    <w:p w14:paraId="70F5656E" w14:textId="77777777" w:rsidR="00377D51" w:rsidRPr="00D073D5" w:rsidRDefault="00377D51" w:rsidP="0087675E">
      <w:pPr>
        <w:spacing w:before="120" w:line="276" w:lineRule="auto"/>
        <w:jc w:val="both"/>
        <w:rPr>
          <w:sz w:val="22"/>
          <w:szCs w:val="22"/>
        </w:rPr>
      </w:pPr>
      <w:r w:rsidRPr="00D073D5">
        <w:rPr>
          <w:sz w:val="22"/>
          <w:szCs w:val="22"/>
        </w:rPr>
        <w:t xml:space="preserve">Kľúčovou činnosťou technických sekretariátov je predovšetkým: </w:t>
      </w:r>
    </w:p>
    <w:p w14:paraId="11412AFE" w14:textId="77777777" w:rsidR="00377D51" w:rsidRPr="00D073D5" w:rsidRDefault="00377D51" w:rsidP="0087675E">
      <w:pPr>
        <w:widowControl/>
        <w:numPr>
          <w:ilvl w:val="0"/>
          <w:numId w:val="41"/>
        </w:numPr>
        <w:autoSpaceDE/>
        <w:autoSpaceDN/>
        <w:adjustRightInd/>
        <w:spacing w:line="276" w:lineRule="auto"/>
        <w:ind w:left="426" w:hanging="284"/>
        <w:contextualSpacing/>
        <w:jc w:val="both"/>
        <w:rPr>
          <w:rFonts w:eastAsia="Arial Narrow"/>
          <w:sz w:val="22"/>
          <w:szCs w:val="22"/>
        </w:rPr>
      </w:pPr>
      <w:r w:rsidRPr="00D073D5">
        <w:rPr>
          <w:sz w:val="22"/>
          <w:szCs w:val="22"/>
        </w:rPr>
        <w:tab/>
      </w:r>
      <w:r w:rsidRPr="00D073D5">
        <w:rPr>
          <w:rFonts w:eastAsia="Arial Narrow"/>
          <w:sz w:val="22"/>
          <w:szCs w:val="22"/>
        </w:rPr>
        <w:t>poskytovanie administratívnej a odbornej podpory pre činnosť Rady partnerstva,</w:t>
      </w:r>
    </w:p>
    <w:p w14:paraId="0C1B19D5" w14:textId="77777777" w:rsidR="00377D51" w:rsidRPr="00D073D5" w:rsidRDefault="00377D51" w:rsidP="0087675E">
      <w:pPr>
        <w:widowControl/>
        <w:numPr>
          <w:ilvl w:val="0"/>
          <w:numId w:val="41"/>
        </w:numPr>
        <w:autoSpaceDE/>
        <w:autoSpaceDN/>
        <w:adjustRightInd/>
        <w:spacing w:line="276" w:lineRule="auto"/>
        <w:ind w:left="426" w:hanging="284"/>
        <w:contextualSpacing/>
        <w:jc w:val="both"/>
        <w:rPr>
          <w:rFonts w:eastAsia="Arial Narrow"/>
          <w:sz w:val="22"/>
          <w:szCs w:val="22"/>
        </w:rPr>
      </w:pPr>
      <w:r w:rsidRPr="00D073D5">
        <w:rPr>
          <w:rFonts w:eastAsia="Arial Narrow"/>
          <w:sz w:val="22"/>
          <w:szCs w:val="22"/>
        </w:rPr>
        <w:t>podpora pri príprave projektov IUI v súlade s IUS na úrovni krajov a ich strategicko-plánovacích regiónov (SPR) - tvorba a aktualizácia projektového zásobníka Rady partnerstva, konzultácie pri príprave projektových zámerov a ich posúdenie pred ich prerokovaním v Rade partnerstva a zaradením do zásobníka,</w:t>
      </w:r>
    </w:p>
    <w:p w14:paraId="06BAC5C4" w14:textId="77777777" w:rsidR="00377D51" w:rsidRPr="00D073D5" w:rsidRDefault="00377D51" w:rsidP="0087675E">
      <w:pPr>
        <w:widowControl/>
        <w:numPr>
          <w:ilvl w:val="0"/>
          <w:numId w:val="41"/>
        </w:numPr>
        <w:autoSpaceDE/>
        <w:autoSpaceDN/>
        <w:adjustRightInd/>
        <w:spacing w:line="276" w:lineRule="auto"/>
        <w:ind w:left="426" w:hanging="284"/>
        <w:contextualSpacing/>
        <w:jc w:val="both"/>
        <w:rPr>
          <w:rFonts w:eastAsia="Arial Narrow"/>
          <w:sz w:val="22"/>
          <w:szCs w:val="22"/>
        </w:rPr>
      </w:pPr>
      <w:r w:rsidRPr="00D073D5">
        <w:rPr>
          <w:rFonts w:eastAsia="Arial Narrow"/>
          <w:sz w:val="22"/>
          <w:szCs w:val="22"/>
        </w:rPr>
        <w:t>podpora pri riadení a implementácii projektov IÚS – vecná, časová a finančná koordinácia realizácie projektov v rámci integrovaných projektov IUI, monitorovanie na úrovni projektov, finančné riadenie projektov.</w:t>
      </w:r>
    </w:p>
    <w:p w14:paraId="4641AB52" w14:textId="77777777" w:rsidR="00377D51" w:rsidRPr="00D073D5" w:rsidRDefault="00377D51" w:rsidP="0087675E">
      <w:pPr>
        <w:spacing w:line="276" w:lineRule="auto"/>
        <w:jc w:val="both"/>
        <w:rPr>
          <w:rFonts w:eastAsia="Arial Narrow"/>
          <w:sz w:val="22"/>
          <w:szCs w:val="22"/>
        </w:rPr>
      </w:pPr>
    </w:p>
    <w:p w14:paraId="60564EB1" w14:textId="77777777" w:rsidR="00377D51" w:rsidRPr="00D073D5" w:rsidRDefault="00377D51" w:rsidP="0087675E">
      <w:pPr>
        <w:spacing w:line="276" w:lineRule="auto"/>
        <w:jc w:val="both"/>
        <w:rPr>
          <w:rFonts w:eastAsia="Arial Narrow"/>
          <w:sz w:val="22"/>
          <w:szCs w:val="22"/>
        </w:rPr>
      </w:pPr>
      <w:r w:rsidRPr="00D073D5">
        <w:rPr>
          <w:rFonts w:eastAsia="Arial Narrow"/>
          <w:sz w:val="22"/>
          <w:szCs w:val="22"/>
        </w:rPr>
        <w:t xml:space="preserve">Uvedené činnosti budú Technické sekretariáty vykonávať vo vzťahu k novému programovému obdobiu 2021 – 2027, v rámci ktorého sa počíta aj s ich financovaním  z prostriedkov určených na technickú pomoc. </w:t>
      </w:r>
    </w:p>
    <w:p w14:paraId="6A15B756" w14:textId="77777777" w:rsidR="00377D51" w:rsidRPr="00D073D5" w:rsidRDefault="00377D51" w:rsidP="0087675E">
      <w:pPr>
        <w:spacing w:before="120" w:line="276" w:lineRule="auto"/>
        <w:jc w:val="both"/>
        <w:rPr>
          <w:rFonts w:eastAsia="Arial Narrow"/>
          <w:sz w:val="22"/>
          <w:szCs w:val="22"/>
        </w:rPr>
      </w:pPr>
      <w:r w:rsidRPr="00D073D5">
        <w:rPr>
          <w:rFonts w:eastAsia="Arial Narrow"/>
          <w:sz w:val="22"/>
          <w:szCs w:val="22"/>
        </w:rPr>
        <w:t>Kľúčovou činnosťou administratívnych kapacít UMR bude pomoc a podpora pri príprave a implementácii projektov integrovanej územnej stratégie UMR. Cieľom je zabezpečiť adekvátnu prípravu kvalitných projektov v 18 územiach UMR prostredníctvom vybudovania AK v rámci 18 jadrových území UMR.</w:t>
      </w:r>
    </w:p>
    <w:p w14:paraId="5E2752AE" w14:textId="77777777" w:rsidR="00377D51" w:rsidRPr="00D073D5" w:rsidRDefault="00377D51" w:rsidP="0087675E">
      <w:pPr>
        <w:spacing w:before="120" w:line="276" w:lineRule="auto"/>
        <w:jc w:val="both"/>
        <w:rPr>
          <w:rFonts w:eastAsia="Arial Narrow"/>
          <w:sz w:val="22"/>
          <w:szCs w:val="22"/>
        </w:rPr>
      </w:pPr>
      <w:r w:rsidRPr="00D073D5">
        <w:rPr>
          <w:rFonts w:eastAsia="Arial Narrow"/>
          <w:sz w:val="22"/>
          <w:szCs w:val="22"/>
        </w:rPr>
        <w:t>Cieľom tejto úpravy je len bližšia špecifikácia subjektov ktoré budú plniť úlohy pri podpore cieľov regionálnej politiky financovaných zo zdrojov EÚ a pri príprave na programové obdobie 2021 - 2027.</w:t>
      </w:r>
    </w:p>
    <w:p w14:paraId="259BC164" w14:textId="77777777" w:rsidR="00377D51" w:rsidRPr="00D073D5" w:rsidRDefault="00377D51" w:rsidP="0087675E">
      <w:pPr>
        <w:pStyle w:val="Odsekzoznamu"/>
        <w:numPr>
          <w:ilvl w:val="0"/>
          <w:numId w:val="28"/>
        </w:numPr>
        <w:spacing w:before="240" w:after="120"/>
        <w:ind w:left="284" w:hanging="284"/>
        <w:contextualSpacing w:val="0"/>
        <w:jc w:val="both"/>
        <w:rPr>
          <w:rFonts w:ascii="Arial" w:hAnsi="Arial" w:cs="Arial"/>
          <w:b/>
        </w:rPr>
      </w:pPr>
      <w:r w:rsidRPr="00D073D5">
        <w:rPr>
          <w:rFonts w:ascii="Arial" w:hAnsi="Arial" w:cs="Arial"/>
          <w:b/>
        </w:rPr>
        <w:t>Úprava finančného plánu IROP</w:t>
      </w:r>
    </w:p>
    <w:p w14:paraId="6CF51B55" w14:textId="4F4EC601" w:rsidR="00D86668" w:rsidRDefault="00D86668" w:rsidP="0087675E">
      <w:pPr>
        <w:pStyle w:val="Textkomentra"/>
        <w:spacing w:line="276" w:lineRule="auto"/>
        <w:jc w:val="both"/>
        <w:rPr>
          <w:rFonts w:eastAsia="Arial Narrow"/>
          <w:sz w:val="22"/>
          <w:szCs w:val="22"/>
        </w:rPr>
      </w:pPr>
      <w:r w:rsidRPr="00D86668">
        <w:rPr>
          <w:rFonts w:eastAsia="Arial Narrow"/>
          <w:sz w:val="22"/>
          <w:szCs w:val="22"/>
        </w:rPr>
        <w:t xml:space="preserve">RO pre IROP vykonal touto revíziou nasledovné finančné úpravy vyplývajúce z aktuálneho stavu implementácie operačného programu, dopytu územia a celoslovenských obmedzení v súvislosti s ochorením COVID-19. V prípade presunu alokácie z PO5 do PO1 RO pre IROP zohľadnil aktuálny stav pripravenosti projektov, dopyt zo strany VÚC v zmysle RIÚS a taktiež už alokované finančné prostriedky na verejnú osobnú dopravu a cyklistickú dopravu v PO7 (REACT-EÚ). Efektívne zacielenie na aktuálne potreby územia zabezpečujú vypracované regionálne a miestne plány udržateľnej mobility. Zároveň bola touto revíziu prerozdelená 2. </w:t>
      </w:r>
      <w:proofErr w:type="spellStart"/>
      <w:r w:rsidRPr="00D86668">
        <w:rPr>
          <w:rFonts w:eastAsia="Arial Narrow"/>
          <w:sz w:val="22"/>
          <w:szCs w:val="22"/>
        </w:rPr>
        <w:t>tranža</w:t>
      </w:r>
      <w:proofErr w:type="spellEnd"/>
      <w:r w:rsidRPr="00D86668">
        <w:rPr>
          <w:rFonts w:eastAsia="Arial Narrow"/>
          <w:sz w:val="22"/>
          <w:szCs w:val="22"/>
        </w:rPr>
        <w:t xml:space="preserve"> na prioritné osi REACT-EÚ na poskytovanie pomoci na podporu obnovy po kríze spojenej s pandémiou COVID-19 vrátane jej sociálnych dôsledkov a na prípravu zeleného, digitálneho a odolného oživenia hospodárstva (Nariadenie Európskeho Parlamentu a Rady (EÚ) 2020/2221 z 23. decembra 2020, ktorým sa mení nariadenie (EÚ) č. 1303/2013). </w:t>
      </w:r>
    </w:p>
    <w:p w14:paraId="1C0EEF54" w14:textId="32E30D90" w:rsidR="00D86668" w:rsidRDefault="00D86668" w:rsidP="00D86668">
      <w:pPr>
        <w:pStyle w:val="Textkomentra"/>
        <w:spacing w:line="276" w:lineRule="auto"/>
        <w:jc w:val="both"/>
        <w:rPr>
          <w:rFonts w:eastAsia="Arial Narrow"/>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29"/>
        <w:gridCol w:w="1701"/>
        <w:gridCol w:w="851"/>
        <w:gridCol w:w="1276"/>
        <w:gridCol w:w="1134"/>
        <w:gridCol w:w="1275"/>
        <w:gridCol w:w="2694"/>
      </w:tblGrid>
      <w:tr w:rsidR="00D86668" w:rsidRPr="005A2ED3" w14:paraId="128A76EA" w14:textId="77777777" w:rsidTr="00D86668">
        <w:trPr>
          <w:tblHeader/>
        </w:trPr>
        <w:tc>
          <w:tcPr>
            <w:tcW w:w="1129" w:type="dxa"/>
            <w:shd w:val="clear" w:color="auto" w:fill="auto"/>
            <w:vAlign w:val="center"/>
            <w:hideMark/>
          </w:tcPr>
          <w:p w14:paraId="76E20ABB" w14:textId="77777777" w:rsidR="00D86668" w:rsidRPr="00076086" w:rsidRDefault="00D86668" w:rsidP="00C11675">
            <w:pPr>
              <w:jc w:val="center"/>
              <w:rPr>
                <w:rFonts w:ascii="Arial Narrow" w:hAnsi="Arial Narrow" w:cs="Calibri"/>
                <w:b/>
                <w:bCs/>
                <w:color w:val="000000"/>
                <w:sz w:val="18"/>
                <w:szCs w:val="18"/>
              </w:rPr>
            </w:pPr>
            <w:r w:rsidRPr="00076086">
              <w:rPr>
                <w:rFonts w:ascii="Arial Narrow" w:hAnsi="Arial Narrow" w:cs="Calibri"/>
                <w:b/>
                <w:bCs/>
                <w:color w:val="000000"/>
                <w:sz w:val="18"/>
                <w:szCs w:val="18"/>
              </w:rPr>
              <w:t xml:space="preserve">Prioritná </w:t>
            </w:r>
          </w:p>
          <w:p w14:paraId="58C2A9C8" w14:textId="77777777" w:rsidR="00D86668" w:rsidRPr="00076086" w:rsidRDefault="00D86668" w:rsidP="00C11675">
            <w:pPr>
              <w:jc w:val="center"/>
              <w:rPr>
                <w:rFonts w:ascii="Arial Narrow" w:hAnsi="Arial Narrow" w:cs="Calibri"/>
                <w:b/>
                <w:bCs/>
                <w:color w:val="000000"/>
                <w:sz w:val="18"/>
                <w:szCs w:val="18"/>
              </w:rPr>
            </w:pPr>
            <w:r w:rsidRPr="00076086">
              <w:rPr>
                <w:rFonts w:ascii="Arial Narrow" w:hAnsi="Arial Narrow" w:cs="Calibri"/>
                <w:b/>
                <w:bCs/>
                <w:color w:val="000000"/>
                <w:sz w:val="18"/>
                <w:szCs w:val="18"/>
              </w:rPr>
              <w:t>os</w:t>
            </w:r>
          </w:p>
        </w:tc>
        <w:tc>
          <w:tcPr>
            <w:tcW w:w="1701" w:type="dxa"/>
            <w:shd w:val="clear" w:color="auto" w:fill="auto"/>
            <w:vAlign w:val="center"/>
          </w:tcPr>
          <w:p w14:paraId="3EF8559E" w14:textId="77777777" w:rsidR="00D86668" w:rsidRPr="00076086" w:rsidRDefault="00D86668" w:rsidP="00C11675">
            <w:pPr>
              <w:jc w:val="center"/>
              <w:rPr>
                <w:rFonts w:ascii="Arial Narrow" w:hAnsi="Arial Narrow" w:cs="Calibri"/>
                <w:b/>
                <w:bCs/>
                <w:color w:val="000000"/>
                <w:sz w:val="18"/>
                <w:szCs w:val="18"/>
              </w:rPr>
            </w:pPr>
            <w:r w:rsidRPr="00076086">
              <w:rPr>
                <w:rFonts w:ascii="Arial Narrow" w:hAnsi="Arial Narrow" w:cs="Calibri"/>
                <w:b/>
                <w:bCs/>
                <w:color w:val="000000"/>
                <w:sz w:val="18"/>
                <w:szCs w:val="18"/>
              </w:rPr>
              <w:t xml:space="preserve">Špecifický cieľ </w:t>
            </w:r>
            <w:r>
              <w:rPr>
                <w:rFonts w:ascii="Arial Narrow" w:hAnsi="Arial Narrow" w:cs="Calibri"/>
                <w:b/>
                <w:bCs/>
                <w:color w:val="000000"/>
                <w:sz w:val="18"/>
                <w:szCs w:val="18"/>
              </w:rPr>
              <w:br/>
            </w:r>
            <w:r w:rsidRPr="00076086">
              <w:rPr>
                <w:rFonts w:ascii="Arial Narrow" w:hAnsi="Arial Narrow" w:cs="Calibri"/>
                <w:b/>
                <w:bCs/>
                <w:color w:val="000000"/>
                <w:sz w:val="18"/>
                <w:szCs w:val="18"/>
              </w:rPr>
              <w:t>(skrátený názov)</w:t>
            </w:r>
            <w:r>
              <w:rPr>
                <w:rFonts w:ascii="Arial Narrow" w:hAnsi="Arial Narrow" w:cs="Calibri"/>
                <w:b/>
                <w:bCs/>
                <w:color w:val="000000"/>
                <w:sz w:val="18"/>
                <w:szCs w:val="18"/>
              </w:rPr>
              <w:t xml:space="preserve"> / </w:t>
            </w:r>
          </w:p>
          <w:p w14:paraId="57F960D2" w14:textId="77777777" w:rsidR="00D86668" w:rsidRPr="00076086" w:rsidRDefault="00D86668" w:rsidP="00C11675">
            <w:pPr>
              <w:jc w:val="center"/>
              <w:rPr>
                <w:rFonts w:ascii="Arial Narrow" w:hAnsi="Arial Narrow" w:cs="Calibri"/>
                <w:b/>
                <w:bCs/>
                <w:color w:val="000000"/>
                <w:sz w:val="18"/>
                <w:szCs w:val="18"/>
              </w:rPr>
            </w:pPr>
            <w:r w:rsidRPr="00076086">
              <w:rPr>
                <w:rFonts w:ascii="Arial Narrow" w:hAnsi="Arial Narrow" w:cs="Calibri"/>
                <w:b/>
                <w:bCs/>
                <w:color w:val="000000"/>
                <w:sz w:val="18"/>
                <w:szCs w:val="18"/>
              </w:rPr>
              <w:t>Kategória regiónu</w:t>
            </w:r>
          </w:p>
        </w:tc>
        <w:tc>
          <w:tcPr>
            <w:tcW w:w="851" w:type="dxa"/>
            <w:shd w:val="clear" w:color="auto" w:fill="auto"/>
            <w:vAlign w:val="center"/>
          </w:tcPr>
          <w:p w14:paraId="15042AA3" w14:textId="77777777" w:rsidR="00D86668" w:rsidRPr="00076086" w:rsidRDefault="00D86668" w:rsidP="00C11675">
            <w:pPr>
              <w:jc w:val="center"/>
              <w:rPr>
                <w:rFonts w:ascii="Arial Narrow" w:hAnsi="Arial Narrow" w:cs="Calibri"/>
                <w:b/>
                <w:bCs/>
                <w:color w:val="000000"/>
                <w:sz w:val="18"/>
                <w:szCs w:val="18"/>
              </w:rPr>
            </w:pPr>
            <w:r>
              <w:rPr>
                <w:rFonts w:ascii="Arial Narrow" w:hAnsi="Arial Narrow" w:cs="Calibri"/>
                <w:b/>
                <w:bCs/>
                <w:color w:val="000000"/>
                <w:sz w:val="18"/>
                <w:szCs w:val="18"/>
              </w:rPr>
              <w:t>Kategória regiónu</w:t>
            </w:r>
          </w:p>
        </w:tc>
        <w:tc>
          <w:tcPr>
            <w:tcW w:w="1276" w:type="dxa"/>
            <w:shd w:val="clear" w:color="auto" w:fill="auto"/>
            <w:vAlign w:val="center"/>
          </w:tcPr>
          <w:p w14:paraId="5BE47A97" w14:textId="77777777" w:rsidR="00D86668" w:rsidRPr="00076086" w:rsidRDefault="00D86668" w:rsidP="00C11675">
            <w:pPr>
              <w:jc w:val="center"/>
              <w:rPr>
                <w:rFonts w:ascii="Arial Narrow" w:hAnsi="Arial Narrow" w:cs="Calibri"/>
                <w:b/>
                <w:bCs/>
                <w:sz w:val="18"/>
                <w:szCs w:val="18"/>
              </w:rPr>
            </w:pPr>
            <w:r w:rsidRPr="00076086">
              <w:rPr>
                <w:rFonts w:ascii="Arial Narrow" w:hAnsi="Arial Narrow" w:cs="Calibri"/>
                <w:b/>
                <w:bCs/>
                <w:color w:val="000000"/>
                <w:sz w:val="18"/>
                <w:szCs w:val="18"/>
              </w:rPr>
              <w:t>Alokácia IROP, verzia 10.0</w:t>
            </w:r>
          </w:p>
        </w:tc>
        <w:tc>
          <w:tcPr>
            <w:tcW w:w="1134" w:type="dxa"/>
            <w:shd w:val="clear" w:color="auto" w:fill="auto"/>
            <w:vAlign w:val="center"/>
          </w:tcPr>
          <w:p w14:paraId="673FE8B7" w14:textId="77777777" w:rsidR="00D86668" w:rsidRPr="00076086" w:rsidRDefault="00D86668" w:rsidP="00C11675">
            <w:pPr>
              <w:jc w:val="center"/>
              <w:rPr>
                <w:rFonts w:ascii="Arial Narrow" w:hAnsi="Arial Narrow" w:cs="Calibri"/>
                <w:b/>
                <w:bCs/>
                <w:sz w:val="18"/>
                <w:szCs w:val="18"/>
              </w:rPr>
            </w:pPr>
            <w:r w:rsidRPr="00076086">
              <w:rPr>
                <w:rFonts w:ascii="Arial Narrow" w:hAnsi="Arial Narrow" w:cs="Calibri"/>
                <w:b/>
                <w:bCs/>
                <w:sz w:val="18"/>
                <w:szCs w:val="18"/>
              </w:rPr>
              <w:t>Zmeny v</w:t>
            </w:r>
            <w:r>
              <w:rPr>
                <w:rFonts w:ascii="Arial Narrow" w:hAnsi="Arial Narrow" w:cs="Calibri"/>
                <w:b/>
                <w:bCs/>
                <w:sz w:val="18"/>
                <w:szCs w:val="18"/>
              </w:rPr>
              <w:t> </w:t>
            </w:r>
            <w:r w:rsidRPr="00076086">
              <w:rPr>
                <w:rFonts w:ascii="Arial Narrow" w:hAnsi="Arial Narrow" w:cs="Calibri"/>
                <w:b/>
                <w:bCs/>
                <w:sz w:val="18"/>
                <w:szCs w:val="18"/>
              </w:rPr>
              <w:t>alokáciách</w:t>
            </w:r>
          </w:p>
        </w:tc>
        <w:tc>
          <w:tcPr>
            <w:tcW w:w="1275" w:type="dxa"/>
            <w:shd w:val="clear" w:color="auto" w:fill="auto"/>
            <w:vAlign w:val="center"/>
          </w:tcPr>
          <w:p w14:paraId="19CFA9F8" w14:textId="77777777" w:rsidR="00D86668" w:rsidRPr="00076086" w:rsidRDefault="00D86668" w:rsidP="00C11675">
            <w:pPr>
              <w:jc w:val="center"/>
              <w:rPr>
                <w:rFonts w:ascii="Arial Narrow" w:hAnsi="Arial Narrow" w:cs="Calibri"/>
                <w:b/>
                <w:bCs/>
                <w:sz w:val="18"/>
                <w:szCs w:val="18"/>
              </w:rPr>
            </w:pPr>
            <w:r w:rsidRPr="00076086">
              <w:rPr>
                <w:rFonts w:ascii="Arial Narrow" w:hAnsi="Arial Narrow" w:cs="Calibri"/>
                <w:b/>
                <w:bCs/>
                <w:sz w:val="18"/>
                <w:szCs w:val="18"/>
              </w:rPr>
              <w:t>Alokáci</w:t>
            </w:r>
            <w:r>
              <w:rPr>
                <w:rFonts w:ascii="Arial Narrow" w:hAnsi="Arial Narrow" w:cs="Calibri"/>
                <w:b/>
                <w:bCs/>
                <w:sz w:val="18"/>
                <w:szCs w:val="18"/>
              </w:rPr>
              <w:t>a IROP, verzia </w:t>
            </w:r>
            <w:r w:rsidRPr="00076086">
              <w:rPr>
                <w:rFonts w:ascii="Arial Narrow" w:hAnsi="Arial Narrow" w:cs="Calibri"/>
                <w:b/>
                <w:bCs/>
                <w:sz w:val="18"/>
                <w:szCs w:val="18"/>
              </w:rPr>
              <w:t>1</w:t>
            </w:r>
            <w:r>
              <w:rPr>
                <w:rFonts w:ascii="Arial Narrow" w:hAnsi="Arial Narrow" w:cs="Calibri"/>
                <w:b/>
                <w:bCs/>
                <w:sz w:val="18"/>
                <w:szCs w:val="18"/>
              </w:rPr>
              <w:t>2</w:t>
            </w:r>
            <w:r w:rsidRPr="00076086">
              <w:rPr>
                <w:rFonts w:ascii="Arial Narrow" w:hAnsi="Arial Narrow" w:cs="Calibri"/>
                <w:b/>
                <w:bCs/>
                <w:sz w:val="18"/>
                <w:szCs w:val="18"/>
              </w:rPr>
              <w:t>.0</w:t>
            </w:r>
          </w:p>
        </w:tc>
        <w:tc>
          <w:tcPr>
            <w:tcW w:w="2694" w:type="dxa"/>
          </w:tcPr>
          <w:p w14:paraId="4EB861BD" w14:textId="77777777" w:rsidR="00D86668" w:rsidRPr="00076086" w:rsidRDefault="00D86668" w:rsidP="00C11675">
            <w:pPr>
              <w:jc w:val="center"/>
              <w:rPr>
                <w:rFonts w:ascii="Arial Narrow" w:hAnsi="Arial Narrow" w:cs="Calibri"/>
                <w:b/>
                <w:bCs/>
                <w:sz w:val="18"/>
                <w:szCs w:val="18"/>
              </w:rPr>
            </w:pPr>
            <w:r>
              <w:rPr>
                <w:rFonts w:ascii="Arial Narrow" w:hAnsi="Arial Narrow" w:cs="Calibri"/>
                <w:b/>
                <w:bCs/>
                <w:sz w:val="18"/>
                <w:szCs w:val="18"/>
              </w:rPr>
              <w:t>Špecifikácia jednotlivých presunov finančných prostriedkov v rámci špecifických cieľov IROP</w:t>
            </w:r>
          </w:p>
        </w:tc>
      </w:tr>
      <w:tr w:rsidR="00D86668" w:rsidRPr="005A2ED3" w14:paraId="168FD734" w14:textId="77777777" w:rsidTr="00D86668">
        <w:tc>
          <w:tcPr>
            <w:tcW w:w="1129" w:type="dxa"/>
            <w:vMerge w:val="restart"/>
            <w:shd w:val="clear" w:color="auto" w:fill="auto"/>
            <w:vAlign w:val="center"/>
            <w:hideMark/>
          </w:tcPr>
          <w:p w14:paraId="6500AE05" w14:textId="77777777" w:rsidR="00D86668" w:rsidRPr="005A2ED3" w:rsidRDefault="00D86668" w:rsidP="00C11675">
            <w:pPr>
              <w:jc w:val="center"/>
              <w:rPr>
                <w:rFonts w:ascii="Arial Narrow" w:hAnsi="Arial Narrow" w:cs="Calibri"/>
                <w:b/>
                <w:bCs/>
                <w:color w:val="000000"/>
                <w:sz w:val="20"/>
                <w:szCs w:val="20"/>
              </w:rPr>
            </w:pPr>
            <w:r w:rsidRPr="005A2ED3">
              <w:rPr>
                <w:rFonts w:ascii="Arial Narrow" w:hAnsi="Arial Narrow" w:cs="Calibri"/>
                <w:b/>
                <w:bCs/>
                <w:color w:val="000000"/>
                <w:sz w:val="20"/>
                <w:szCs w:val="20"/>
              </w:rPr>
              <w:t>1. Bezpečná a ekologická doprava v regiónoch</w:t>
            </w:r>
          </w:p>
        </w:tc>
        <w:tc>
          <w:tcPr>
            <w:tcW w:w="1701" w:type="dxa"/>
            <w:vMerge w:val="restart"/>
            <w:shd w:val="clear" w:color="auto" w:fill="auto"/>
            <w:vAlign w:val="center"/>
            <w:hideMark/>
          </w:tcPr>
          <w:p w14:paraId="6620ECCD"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1.1 Cesty</w:t>
            </w:r>
          </w:p>
        </w:tc>
        <w:tc>
          <w:tcPr>
            <w:tcW w:w="851" w:type="dxa"/>
            <w:shd w:val="clear" w:color="auto" w:fill="auto"/>
            <w:vAlign w:val="center"/>
            <w:hideMark/>
          </w:tcPr>
          <w:p w14:paraId="18295F66"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tcPr>
          <w:p w14:paraId="063D8740"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234 094 225</w:t>
            </w:r>
          </w:p>
        </w:tc>
        <w:tc>
          <w:tcPr>
            <w:tcW w:w="1134" w:type="dxa"/>
            <w:shd w:val="clear" w:color="auto" w:fill="auto"/>
          </w:tcPr>
          <w:p w14:paraId="017A68C3"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5 296 952</w:t>
            </w:r>
          </w:p>
        </w:tc>
        <w:tc>
          <w:tcPr>
            <w:tcW w:w="1275" w:type="dxa"/>
            <w:shd w:val="clear" w:color="auto" w:fill="auto"/>
          </w:tcPr>
          <w:p w14:paraId="5011B165"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239 391</w:t>
            </w:r>
            <w:r>
              <w:rPr>
                <w:rFonts w:ascii="Arial Narrow" w:hAnsi="Arial Narrow" w:cs="Calibri"/>
                <w:sz w:val="20"/>
                <w:szCs w:val="20"/>
              </w:rPr>
              <w:t> </w:t>
            </w:r>
            <w:r w:rsidRPr="00CE520E">
              <w:rPr>
                <w:rFonts w:ascii="Arial Narrow" w:hAnsi="Arial Narrow" w:cs="Calibri"/>
                <w:sz w:val="20"/>
                <w:szCs w:val="20"/>
              </w:rPr>
              <w:t>177</w:t>
            </w:r>
          </w:p>
        </w:tc>
        <w:tc>
          <w:tcPr>
            <w:tcW w:w="2694" w:type="dxa"/>
          </w:tcPr>
          <w:p w14:paraId="51CF3E24" w14:textId="77777777" w:rsidR="00D86668" w:rsidRPr="00AB1D1D" w:rsidRDefault="00D86668" w:rsidP="00C11675">
            <w:pPr>
              <w:rPr>
                <w:rFonts w:ascii="Arial Narrow" w:hAnsi="Arial Narrow" w:cs="Calibri"/>
                <w:sz w:val="20"/>
                <w:szCs w:val="20"/>
              </w:rPr>
            </w:pPr>
            <w:r w:rsidRPr="00AB1D1D">
              <w:rPr>
                <w:rFonts w:ascii="Arial Narrow" w:hAnsi="Arial Narrow" w:cs="Calibri"/>
                <w:sz w:val="20"/>
                <w:szCs w:val="20"/>
              </w:rPr>
              <w:t>Presun 5 296 952 EUR</w:t>
            </w:r>
            <w:r>
              <w:rPr>
                <w:rFonts w:ascii="Arial Narrow" w:hAnsi="Arial Narrow" w:cs="Calibri"/>
                <w:sz w:val="20"/>
                <w:szCs w:val="20"/>
              </w:rPr>
              <w:t xml:space="preserve"> z PO5.</w:t>
            </w:r>
          </w:p>
        </w:tc>
      </w:tr>
      <w:tr w:rsidR="00D86668" w:rsidRPr="005A2ED3" w14:paraId="0FD9EAE4" w14:textId="77777777" w:rsidTr="00D86668">
        <w:tc>
          <w:tcPr>
            <w:tcW w:w="1129" w:type="dxa"/>
            <w:vMerge/>
            <w:vAlign w:val="center"/>
            <w:hideMark/>
          </w:tcPr>
          <w:p w14:paraId="273F9D7D" w14:textId="77777777" w:rsidR="00D86668" w:rsidRPr="005A2ED3" w:rsidRDefault="00D86668" w:rsidP="00C11675">
            <w:pPr>
              <w:rPr>
                <w:rFonts w:ascii="Arial Narrow" w:hAnsi="Arial Narrow" w:cs="Calibri"/>
                <w:b/>
                <w:bCs/>
                <w:color w:val="000000"/>
                <w:sz w:val="20"/>
                <w:szCs w:val="20"/>
              </w:rPr>
            </w:pPr>
          </w:p>
        </w:tc>
        <w:tc>
          <w:tcPr>
            <w:tcW w:w="1701" w:type="dxa"/>
            <w:vMerge/>
            <w:vAlign w:val="center"/>
            <w:hideMark/>
          </w:tcPr>
          <w:p w14:paraId="4E8995B5" w14:textId="77777777" w:rsidR="00D86668" w:rsidRPr="005A2ED3" w:rsidRDefault="00D86668" w:rsidP="00C11675">
            <w:pPr>
              <w:rPr>
                <w:rFonts w:ascii="Arial Narrow" w:hAnsi="Arial Narrow" w:cs="Calibri"/>
                <w:color w:val="000000"/>
                <w:sz w:val="20"/>
                <w:szCs w:val="20"/>
              </w:rPr>
            </w:pPr>
          </w:p>
        </w:tc>
        <w:tc>
          <w:tcPr>
            <w:tcW w:w="851" w:type="dxa"/>
            <w:shd w:val="clear" w:color="auto" w:fill="auto"/>
            <w:vAlign w:val="center"/>
            <w:hideMark/>
          </w:tcPr>
          <w:p w14:paraId="0F411DA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tcPr>
          <w:p w14:paraId="501BE596"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8 000 000</w:t>
            </w:r>
          </w:p>
        </w:tc>
        <w:tc>
          <w:tcPr>
            <w:tcW w:w="1134" w:type="dxa"/>
            <w:shd w:val="clear" w:color="auto" w:fill="auto"/>
          </w:tcPr>
          <w:p w14:paraId="59439BBC"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-2 420 000</w:t>
            </w:r>
          </w:p>
        </w:tc>
        <w:tc>
          <w:tcPr>
            <w:tcW w:w="1275" w:type="dxa"/>
            <w:shd w:val="clear" w:color="auto" w:fill="auto"/>
          </w:tcPr>
          <w:p w14:paraId="11BA58E3"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5 580 000</w:t>
            </w:r>
          </w:p>
        </w:tc>
        <w:tc>
          <w:tcPr>
            <w:tcW w:w="2694" w:type="dxa"/>
          </w:tcPr>
          <w:p w14:paraId="34F0AAEC" w14:textId="77777777" w:rsidR="00D86668" w:rsidRPr="004C2611" w:rsidRDefault="00D86668" w:rsidP="00C11675">
            <w:pPr>
              <w:rPr>
                <w:rFonts w:ascii="Arial Narrow" w:hAnsi="Arial Narrow" w:cs="Calibri"/>
                <w:sz w:val="20"/>
                <w:szCs w:val="20"/>
              </w:rPr>
            </w:pPr>
            <w:r w:rsidRPr="00982046">
              <w:rPr>
                <w:rFonts w:ascii="Arial Narrow" w:hAnsi="Arial Narrow" w:cs="Calibri"/>
                <w:sz w:val="20"/>
                <w:szCs w:val="20"/>
              </w:rPr>
              <w:t xml:space="preserve">Presun 886 050 EUR do ŠC 121, presun 167 853 EUR </w:t>
            </w:r>
            <w:r w:rsidRPr="004C2611">
              <w:rPr>
                <w:rFonts w:ascii="Arial Narrow" w:hAnsi="Arial Narrow" w:cs="Calibri"/>
                <w:sz w:val="20"/>
                <w:szCs w:val="20"/>
              </w:rPr>
              <w:t xml:space="preserve">do ŠC 41a presun 1 366 097 Eur do ŠC 211. </w:t>
            </w:r>
          </w:p>
        </w:tc>
      </w:tr>
      <w:tr w:rsidR="00D86668" w:rsidRPr="005A2ED3" w14:paraId="676737D2" w14:textId="77777777" w:rsidTr="00D86668">
        <w:tc>
          <w:tcPr>
            <w:tcW w:w="1129" w:type="dxa"/>
            <w:vMerge/>
            <w:vAlign w:val="center"/>
            <w:hideMark/>
          </w:tcPr>
          <w:p w14:paraId="3614E76C"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auto"/>
            <w:vAlign w:val="center"/>
            <w:hideMark/>
          </w:tcPr>
          <w:p w14:paraId="5AFEF5B8"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1.2.1 Verejná osobná doprava</w:t>
            </w:r>
          </w:p>
        </w:tc>
        <w:tc>
          <w:tcPr>
            <w:tcW w:w="851" w:type="dxa"/>
            <w:shd w:val="clear" w:color="auto" w:fill="auto"/>
            <w:vAlign w:val="center"/>
            <w:hideMark/>
          </w:tcPr>
          <w:p w14:paraId="02258BBC"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tcPr>
          <w:p w14:paraId="756E5062"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80 155 906</w:t>
            </w:r>
          </w:p>
        </w:tc>
        <w:tc>
          <w:tcPr>
            <w:tcW w:w="1134" w:type="dxa"/>
            <w:shd w:val="clear" w:color="auto" w:fill="auto"/>
          </w:tcPr>
          <w:p w14:paraId="240EBC70"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0</w:t>
            </w:r>
          </w:p>
        </w:tc>
        <w:tc>
          <w:tcPr>
            <w:tcW w:w="1275" w:type="dxa"/>
            <w:shd w:val="clear" w:color="auto" w:fill="auto"/>
          </w:tcPr>
          <w:p w14:paraId="645FD067"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80 155 906</w:t>
            </w:r>
          </w:p>
        </w:tc>
        <w:tc>
          <w:tcPr>
            <w:tcW w:w="2694" w:type="dxa"/>
          </w:tcPr>
          <w:p w14:paraId="4ACAF6B4" w14:textId="77777777" w:rsidR="00D86668" w:rsidRPr="00982046" w:rsidRDefault="00D86668" w:rsidP="00C11675">
            <w:pPr>
              <w:jc w:val="right"/>
              <w:rPr>
                <w:rFonts w:ascii="Arial Narrow" w:hAnsi="Arial Narrow" w:cs="Calibri"/>
                <w:sz w:val="20"/>
                <w:szCs w:val="20"/>
              </w:rPr>
            </w:pPr>
          </w:p>
        </w:tc>
      </w:tr>
      <w:tr w:rsidR="00D86668" w:rsidRPr="005A2ED3" w14:paraId="7C3FEB4A" w14:textId="77777777" w:rsidTr="00D86668">
        <w:tc>
          <w:tcPr>
            <w:tcW w:w="1129" w:type="dxa"/>
            <w:vMerge/>
            <w:vAlign w:val="center"/>
            <w:hideMark/>
          </w:tcPr>
          <w:p w14:paraId="7DD56AB9" w14:textId="77777777" w:rsidR="00D86668" w:rsidRPr="005A2ED3" w:rsidRDefault="00D86668" w:rsidP="00C11675">
            <w:pPr>
              <w:rPr>
                <w:rFonts w:ascii="Arial Narrow" w:hAnsi="Arial Narrow" w:cs="Calibri"/>
                <w:b/>
                <w:bCs/>
                <w:color w:val="000000"/>
                <w:sz w:val="20"/>
                <w:szCs w:val="20"/>
              </w:rPr>
            </w:pPr>
          </w:p>
        </w:tc>
        <w:tc>
          <w:tcPr>
            <w:tcW w:w="1701" w:type="dxa"/>
            <w:vMerge/>
            <w:vAlign w:val="center"/>
            <w:hideMark/>
          </w:tcPr>
          <w:p w14:paraId="7F6C2993" w14:textId="77777777" w:rsidR="00D86668" w:rsidRPr="005A2ED3" w:rsidRDefault="00D86668" w:rsidP="00C11675">
            <w:pPr>
              <w:rPr>
                <w:rFonts w:ascii="Arial Narrow" w:hAnsi="Arial Narrow" w:cs="Calibri"/>
                <w:color w:val="000000"/>
                <w:sz w:val="20"/>
                <w:szCs w:val="20"/>
              </w:rPr>
            </w:pPr>
          </w:p>
        </w:tc>
        <w:tc>
          <w:tcPr>
            <w:tcW w:w="851" w:type="dxa"/>
            <w:shd w:val="clear" w:color="auto" w:fill="auto"/>
            <w:vAlign w:val="center"/>
            <w:hideMark/>
          </w:tcPr>
          <w:p w14:paraId="7383DBA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tcPr>
          <w:p w14:paraId="248F2549"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8 500 000</w:t>
            </w:r>
          </w:p>
        </w:tc>
        <w:tc>
          <w:tcPr>
            <w:tcW w:w="1134" w:type="dxa"/>
            <w:shd w:val="clear" w:color="auto" w:fill="auto"/>
          </w:tcPr>
          <w:p w14:paraId="2296263B"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886 050</w:t>
            </w:r>
          </w:p>
        </w:tc>
        <w:tc>
          <w:tcPr>
            <w:tcW w:w="1275" w:type="dxa"/>
            <w:shd w:val="clear" w:color="auto" w:fill="auto"/>
          </w:tcPr>
          <w:p w14:paraId="75456E90"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9 386 050</w:t>
            </w:r>
          </w:p>
        </w:tc>
        <w:tc>
          <w:tcPr>
            <w:tcW w:w="2694" w:type="dxa"/>
          </w:tcPr>
          <w:p w14:paraId="03AF6EF2" w14:textId="77777777" w:rsidR="00D86668" w:rsidRPr="00982046" w:rsidRDefault="00D86668" w:rsidP="00C11675">
            <w:pPr>
              <w:rPr>
                <w:rFonts w:ascii="Arial Narrow" w:hAnsi="Arial Narrow" w:cs="Calibri"/>
                <w:sz w:val="20"/>
                <w:szCs w:val="20"/>
              </w:rPr>
            </w:pPr>
            <w:r w:rsidRPr="00982046">
              <w:rPr>
                <w:rFonts w:ascii="Arial Narrow" w:hAnsi="Arial Narrow" w:cs="Calibri"/>
                <w:sz w:val="20"/>
                <w:szCs w:val="20"/>
              </w:rPr>
              <w:t>Presun z ŠC 11</w:t>
            </w:r>
            <w:r>
              <w:rPr>
                <w:rFonts w:ascii="Arial Narrow" w:hAnsi="Arial Narrow" w:cs="Calibri"/>
                <w:sz w:val="20"/>
                <w:szCs w:val="20"/>
              </w:rPr>
              <w:t>.</w:t>
            </w:r>
          </w:p>
        </w:tc>
      </w:tr>
      <w:tr w:rsidR="00D86668" w:rsidRPr="005A2ED3" w14:paraId="724FCE48" w14:textId="77777777" w:rsidTr="00D86668">
        <w:tc>
          <w:tcPr>
            <w:tcW w:w="1129" w:type="dxa"/>
            <w:vMerge/>
            <w:vAlign w:val="center"/>
            <w:hideMark/>
          </w:tcPr>
          <w:p w14:paraId="3B326A9F"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auto"/>
            <w:vAlign w:val="center"/>
            <w:hideMark/>
          </w:tcPr>
          <w:p w14:paraId="18312F9A"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 xml:space="preserve">1.2.2 </w:t>
            </w:r>
            <w:proofErr w:type="spellStart"/>
            <w:r w:rsidRPr="005A2ED3">
              <w:rPr>
                <w:rFonts w:ascii="Arial Narrow" w:hAnsi="Arial Narrow" w:cs="Calibri"/>
                <w:color w:val="000000"/>
                <w:sz w:val="20"/>
                <w:szCs w:val="20"/>
              </w:rPr>
              <w:t>Cyklodoprava</w:t>
            </w:r>
            <w:proofErr w:type="spellEnd"/>
          </w:p>
        </w:tc>
        <w:tc>
          <w:tcPr>
            <w:tcW w:w="851" w:type="dxa"/>
            <w:shd w:val="clear" w:color="auto" w:fill="auto"/>
            <w:vAlign w:val="center"/>
            <w:hideMark/>
          </w:tcPr>
          <w:p w14:paraId="31FBF89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tcPr>
          <w:p w14:paraId="2A7D9ECA"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89 460 377</w:t>
            </w:r>
          </w:p>
        </w:tc>
        <w:tc>
          <w:tcPr>
            <w:tcW w:w="1134" w:type="dxa"/>
            <w:shd w:val="clear" w:color="auto" w:fill="auto"/>
          </w:tcPr>
          <w:p w14:paraId="3041799C"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0</w:t>
            </w:r>
          </w:p>
        </w:tc>
        <w:tc>
          <w:tcPr>
            <w:tcW w:w="1275" w:type="dxa"/>
            <w:shd w:val="clear" w:color="auto" w:fill="auto"/>
          </w:tcPr>
          <w:p w14:paraId="5AE3216C"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89 460 377</w:t>
            </w:r>
          </w:p>
        </w:tc>
        <w:tc>
          <w:tcPr>
            <w:tcW w:w="2694" w:type="dxa"/>
          </w:tcPr>
          <w:p w14:paraId="56861E93" w14:textId="77777777" w:rsidR="00D86668" w:rsidRPr="00982046" w:rsidRDefault="00D86668" w:rsidP="00C11675">
            <w:pPr>
              <w:jc w:val="right"/>
              <w:rPr>
                <w:rFonts w:ascii="Arial Narrow" w:hAnsi="Arial Narrow" w:cs="Calibri"/>
                <w:sz w:val="20"/>
                <w:szCs w:val="20"/>
              </w:rPr>
            </w:pPr>
          </w:p>
        </w:tc>
      </w:tr>
      <w:tr w:rsidR="00D86668" w:rsidRPr="005A2ED3" w14:paraId="23640652" w14:textId="77777777" w:rsidTr="00D86668">
        <w:tc>
          <w:tcPr>
            <w:tcW w:w="1129" w:type="dxa"/>
            <w:vMerge/>
            <w:vAlign w:val="center"/>
            <w:hideMark/>
          </w:tcPr>
          <w:p w14:paraId="7AA99B09" w14:textId="77777777" w:rsidR="00D86668" w:rsidRPr="005A2ED3" w:rsidRDefault="00D86668" w:rsidP="00C11675">
            <w:pPr>
              <w:rPr>
                <w:rFonts w:ascii="Arial Narrow" w:hAnsi="Arial Narrow" w:cs="Calibri"/>
                <w:b/>
                <w:bCs/>
                <w:color w:val="000000"/>
                <w:sz w:val="20"/>
                <w:szCs w:val="20"/>
              </w:rPr>
            </w:pPr>
          </w:p>
        </w:tc>
        <w:tc>
          <w:tcPr>
            <w:tcW w:w="1701" w:type="dxa"/>
            <w:vMerge/>
            <w:vAlign w:val="center"/>
            <w:hideMark/>
          </w:tcPr>
          <w:p w14:paraId="57ADA446" w14:textId="77777777" w:rsidR="00D86668" w:rsidRPr="005A2ED3" w:rsidRDefault="00D86668" w:rsidP="00C11675">
            <w:pPr>
              <w:rPr>
                <w:rFonts w:ascii="Arial Narrow" w:hAnsi="Arial Narrow" w:cs="Calibri"/>
                <w:color w:val="000000"/>
                <w:sz w:val="20"/>
                <w:szCs w:val="20"/>
              </w:rPr>
            </w:pPr>
          </w:p>
        </w:tc>
        <w:tc>
          <w:tcPr>
            <w:tcW w:w="851" w:type="dxa"/>
            <w:shd w:val="clear" w:color="auto" w:fill="auto"/>
            <w:vAlign w:val="center"/>
            <w:hideMark/>
          </w:tcPr>
          <w:p w14:paraId="3B8402F2"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tcPr>
          <w:p w14:paraId="5271DEDF"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4 500 000</w:t>
            </w:r>
          </w:p>
        </w:tc>
        <w:tc>
          <w:tcPr>
            <w:tcW w:w="1134" w:type="dxa"/>
            <w:shd w:val="clear" w:color="auto" w:fill="auto"/>
          </w:tcPr>
          <w:p w14:paraId="757FEC7F"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0</w:t>
            </w:r>
          </w:p>
        </w:tc>
        <w:tc>
          <w:tcPr>
            <w:tcW w:w="1275" w:type="dxa"/>
            <w:shd w:val="clear" w:color="auto" w:fill="auto"/>
          </w:tcPr>
          <w:p w14:paraId="47A0BC06"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4 500 000</w:t>
            </w:r>
          </w:p>
        </w:tc>
        <w:tc>
          <w:tcPr>
            <w:tcW w:w="2694" w:type="dxa"/>
          </w:tcPr>
          <w:p w14:paraId="7C59FDA1" w14:textId="77777777" w:rsidR="00D86668" w:rsidRPr="00982046" w:rsidRDefault="00D86668" w:rsidP="00C11675">
            <w:pPr>
              <w:jc w:val="right"/>
              <w:rPr>
                <w:rFonts w:ascii="Arial Narrow" w:hAnsi="Arial Narrow" w:cs="Calibri"/>
                <w:sz w:val="20"/>
                <w:szCs w:val="20"/>
              </w:rPr>
            </w:pPr>
          </w:p>
        </w:tc>
      </w:tr>
      <w:tr w:rsidR="00D86668" w:rsidRPr="005A2ED3" w14:paraId="337BE981" w14:textId="77777777" w:rsidTr="00D86668">
        <w:tc>
          <w:tcPr>
            <w:tcW w:w="1129" w:type="dxa"/>
            <w:vMerge/>
            <w:vAlign w:val="center"/>
            <w:hideMark/>
          </w:tcPr>
          <w:p w14:paraId="4F5342F1"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483BF88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auto" w:fill="DBE5F1" w:themeFill="accent1" w:themeFillTint="33"/>
            <w:vAlign w:val="center"/>
            <w:hideMark/>
          </w:tcPr>
          <w:p w14:paraId="3FB96EB7"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DBE5F1" w:themeFill="accent1" w:themeFillTint="33"/>
          </w:tcPr>
          <w:p w14:paraId="47D93401"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403 710 508</w:t>
            </w:r>
          </w:p>
        </w:tc>
        <w:tc>
          <w:tcPr>
            <w:tcW w:w="1134" w:type="dxa"/>
            <w:shd w:val="clear" w:color="auto" w:fill="DBE5F1" w:themeFill="accent1" w:themeFillTint="33"/>
            <w:vAlign w:val="center"/>
          </w:tcPr>
          <w:p w14:paraId="72ACD5D0"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5 296 952</w:t>
            </w:r>
          </w:p>
        </w:tc>
        <w:tc>
          <w:tcPr>
            <w:tcW w:w="1275" w:type="dxa"/>
            <w:shd w:val="clear" w:color="auto" w:fill="DBE5F1" w:themeFill="accent1" w:themeFillTint="33"/>
            <w:vAlign w:val="center"/>
          </w:tcPr>
          <w:p w14:paraId="6B938964"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409 007 460</w:t>
            </w:r>
          </w:p>
        </w:tc>
        <w:tc>
          <w:tcPr>
            <w:tcW w:w="2694" w:type="dxa"/>
            <w:shd w:val="clear" w:color="auto" w:fill="DBE5F1" w:themeFill="accent1" w:themeFillTint="33"/>
          </w:tcPr>
          <w:p w14:paraId="160AB2D9" w14:textId="77777777" w:rsidR="00D86668" w:rsidRPr="00982046" w:rsidRDefault="00D86668" w:rsidP="00C11675">
            <w:pPr>
              <w:rPr>
                <w:rFonts w:ascii="Arial Narrow" w:hAnsi="Arial Narrow" w:cs="Calibri"/>
                <w:sz w:val="20"/>
                <w:szCs w:val="20"/>
              </w:rPr>
            </w:pPr>
          </w:p>
        </w:tc>
      </w:tr>
      <w:tr w:rsidR="00D86668" w:rsidRPr="005A2ED3" w14:paraId="3733ECB3" w14:textId="77777777" w:rsidTr="00D86668">
        <w:tc>
          <w:tcPr>
            <w:tcW w:w="1129" w:type="dxa"/>
            <w:vMerge/>
            <w:vAlign w:val="center"/>
            <w:hideMark/>
          </w:tcPr>
          <w:p w14:paraId="33B9B5F5"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76864567"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auto" w:fill="DBE5F1" w:themeFill="accent1" w:themeFillTint="33"/>
            <w:vAlign w:val="center"/>
            <w:hideMark/>
          </w:tcPr>
          <w:p w14:paraId="1821729D"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DBE5F1" w:themeFill="accent1" w:themeFillTint="33"/>
          </w:tcPr>
          <w:p w14:paraId="56369D9E"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21 000 000</w:t>
            </w:r>
          </w:p>
        </w:tc>
        <w:tc>
          <w:tcPr>
            <w:tcW w:w="1134" w:type="dxa"/>
            <w:shd w:val="clear" w:color="auto" w:fill="DBE5F1" w:themeFill="accent1" w:themeFillTint="33"/>
            <w:vAlign w:val="center"/>
          </w:tcPr>
          <w:p w14:paraId="0849932A"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-1 533 950</w:t>
            </w:r>
          </w:p>
        </w:tc>
        <w:tc>
          <w:tcPr>
            <w:tcW w:w="1275" w:type="dxa"/>
            <w:shd w:val="clear" w:color="auto" w:fill="DBE5F1" w:themeFill="accent1" w:themeFillTint="33"/>
            <w:vAlign w:val="center"/>
          </w:tcPr>
          <w:p w14:paraId="099F60CB"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19 466 050</w:t>
            </w:r>
          </w:p>
        </w:tc>
        <w:tc>
          <w:tcPr>
            <w:tcW w:w="2694" w:type="dxa"/>
            <w:shd w:val="clear" w:color="auto" w:fill="DBE5F1" w:themeFill="accent1" w:themeFillTint="33"/>
          </w:tcPr>
          <w:p w14:paraId="4250F781" w14:textId="77777777" w:rsidR="00D86668" w:rsidRPr="00982046" w:rsidRDefault="00D86668" w:rsidP="00C11675">
            <w:pPr>
              <w:jc w:val="right"/>
              <w:rPr>
                <w:rFonts w:ascii="Arial Narrow" w:hAnsi="Arial Narrow" w:cs="Calibri"/>
                <w:sz w:val="20"/>
                <w:szCs w:val="20"/>
              </w:rPr>
            </w:pPr>
          </w:p>
        </w:tc>
      </w:tr>
      <w:tr w:rsidR="00D86668" w:rsidRPr="005A2ED3" w14:paraId="4CFB6669" w14:textId="77777777" w:rsidTr="00D86668">
        <w:tc>
          <w:tcPr>
            <w:tcW w:w="1129" w:type="dxa"/>
            <w:vMerge/>
            <w:vAlign w:val="center"/>
            <w:hideMark/>
          </w:tcPr>
          <w:p w14:paraId="5E0C6AE3"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95B3D7" w:themeFill="accent1" w:themeFillTint="99"/>
            <w:vAlign w:val="center"/>
            <w:hideMark/>
          </w:tcPr>
          <w:p w14:paraId="1D6D7AD5"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shd w:val="clear" w:color="auto" w:fill="95B3D7" w:themeFill="accent1" w:themeFillTint="99"/>
            <w:vAlign w:val="center"/>
            <w:hideMark/>
          </w:tcPr>
          <w:p w14:paraId="0C0DF43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tcPr>
          <w:p w14:paraId="0E5F2D6A"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424 710 508</w:t>
            </w:r>
          </w:p>
        </w:tc>
        <w:tc>
          <w:tcPr>
            <w:tcW w:w="1134" w:type="dxa"/>
            <w:shd w:val="clear" w:color="auto" w:fill="95B3D7" w:themeFill="accent1" w:themeFillTint="99"/>
            <w:vAlign w:val="center"/>
          </w:tcPr>
          <w:p w14:paraId="745DF4E6"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3 763 002</w:t>
            </w:r>
          </w:p>
        </w:tc>
        <w:tc>
          <w:tcPr>
            <w:tcW w:w="1275" w:type="dxa"/>
            <w:shd w:val="clear" w:color="auto" w:fill="95B3D7" w:themeFill="accent1" w:themeFillTint="99"/>
            <w:vAlign w:val="center"/>
          </w:tcPr>
          <w:p w14:paraId="53892100"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428 473 510</w:t>
            </w:r>
          </w:p>
        </w:tc>
        <w:tc>
          <w:tcPr>
            <w:tcW w:w="2694" w:type="dxa"/>
            <w:shd w:val="clear" w:color="auto" w:fill="95B3D7" w:themeFill="accent1" w:themeFillTint="99"/>
          </w:tcPr>
          <w:p w14:paraId="4EC3EA2C" w14:textId="77777777" w:rsidR="00D86668" w:rsidRPr="00982046" w:rsidRDefault="00D86668" w:rsidP="00C11675">
            <w:pPr>
              <w:jc w:val="right"/>
              <w:rPr>
                <w:rFonts w:ascii="Arial Narrow" w:hAnsi="Arial Narrow" w:cs="Calibri"/>
                <w:sz w:val="20"/>
                <w:szCs w:val="20"/>
              </w:rPr>
            </w:pPr>
          </w:p>
        </w:tc>
      </w:tr>
      <w:tr w:rsidR="00D86668" w:rsidRPr="005A2ED3" w14:paraId="4A54B60E" w14:textId="77777777" w:rsidTr="00D86668">
        <w:tc>
          <w:tcPr>
            <w:tcW w:w="1129" w:type="dxa"/>
            <w:vMerge w:val="restart"/>
            <w:shd w:val="clear" w:color="auto" w:fill="FFFFFF" w:themeFill="background1"/>
            <w:vAlign w:val="center"/>
            <w:hideMark/>
          </w:tcPr>
          <w:p w14:paraId="6394AE79" w14:textId="77777777" w:rsidR="00D86668" w:rsidRPr="005A2ED3" w:rsidRDefault="00D86668" w:rsidP="00C11675">
            <w:pPr>
              <w:jc w:val="center"/>
              <w:rPr>
                <w:rFonts w:ascii="Arial Narrow" w:hAnsi="Arial Narrow" w:cs="Calibri"/>
                <w:b/>
                <w:bCs/>
                <w:color w:val="000000"/>
                <w:sz w:val="20"/>
                <w:szCs w:val="20"/>
              </w:rPr>
            </w:pPr>
            <w:r w:rsidRPr="005A2ED3">
              <w:rPr>
                <w:rFonts w:ascii="Arial Narrow" w:hAnsi="Arial Narrow" w:cs="Calibri"/>
                <w:b/>
                <w:bCs/>
                <w:color w:val="000000"/>
                <w:sz w:val="20"/>
                <w:szCs w:val="20"/>
              </w:rPr>
              <w:t>2. Ľahší prístup k efektívnym a kvalitnejším službám</w:t>
            </w:r>
          </w:p>
        </w:tc>
        <w:tc>
          <w:tcPr>
            <w:tcW w:w="1701" w:type="dxa"/>
            <w:vMerge w:val="restart"/>
            <w:shd w:val="clear" w:color="auto" w:fill="FFFFFF" w:themeFill="background1"/>
            <w:vAlign w:val="center"/>
            <w:hideMark/>
          </w:tcPr>
          <w:p w14:paraId="59F63A1D" w14:textId="77777777" w:rsidR="00D86668" w:rsidRPr="005A2ED3" w:rsidRDefault="00D86668" w:rsidP="00C11675">
            <w:pPr>
              <w:rPr>
                <w:rFonts w:ascii="Arial Narrow" w:hAnsi="Arial Narrow" w:cs="Calibri"/>
                <w:sz w:val="20"/>
                <w:szCs w:val="20"/>
              </w:rPr>
            </w:pPr>
            <w:r w:rsidRPr="005A2ED3">
              <w:rPr>
                <w:rFonts w:ascii="Arial Narrow" w:hAnsi="Arial Narrow" w:cs="Calibri"/>
                <w:sz w:val="20"/>
                <w:szCs w:val="20"/>
              </w:rPr>
              <w:t>2.1.1 Komunitné služby</w:t>
            </w:r>
          </w:p>
        </w:tc>
        <w:tc>
          <w:tcPr>
            <w:tcW w:w="851" w:type="dxa"/>
            <w:shd w:val="clear" w:color="auto" w:fill="FFFFFF" w:themeFill="background1"/>
            <w:vAlign w:val="center"/>
            <w:hideMark/>
          </w:tcPr>
          <w:p w14:paraId="5620426D"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2EA12BE9"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103 790 913</w:t>
            </w:r>
          </w:p>
        </w:tc>
        <w:tc>
          <w:tcPr>
            <w:tcW w:w="1134" w:type="dxa"/>
            <w:shd w:val="clear" w:color="auto" w:fill="FFFFFF" w:themeFill="background1"/>
          </w:tcPr>
          <w:p w14:paraId="781E5B17"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FFFFFF" w:themeFill="background1"/>
          </w:tcPr>
          <w:p w14:paraId="3F996C34"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103 790 913</w:t>
            </w:r>
          </w:p>
        </w:tc>
        <w:tc>
          <w:tcPr>
            <w:tcW w:w="2694" w:type="dxa"/>
            <w:shd w:val="clear" w:color="auto" w:fill="FFFFFF" w:themeFill="background1"/>
          </w:tcPr>
          <w:p w14:paraId="7BD8E1A0" w14:textId="77777777" w:rsidR="00D86668" w:rsidRPr="00982046" w:rsidRDefault="00D86668" w:rsidP="00C11675">
            <w:pPr>
              <w:jc w:val="right"/>
              <w:rPr>
                <w:rFonts w:ascii="Arial Narrow" w:hAnsi="Arial Narrow" w:cs="Calibri"/>
                <w:sz w:val="20"/>
                <w:szCs w:val="20"/>
              </w:rPr>
            </w:pPr>
          </w:p>
        </w:tc>
      </w:tr>
      <w:tr w:rsidR="00D86668" w:rsidRPr="005A2ED3" w14:paraId="766F716C" w14:textId="77777777" w:rsidTr="00D86668">
        <w:tc>
          <w:tcPr>
            <w:tcW w:w="1129" w:type="dxa"/>
            <w:vMerge/>
            <w:shd w:val="clear" w:color="auto" w:fill="FFFFFF" w:themeFill="background1"/>
            <w:vAlign w:val="center"/>
            <w:hideMark/>
          </w:tcPr>
          <w:p w14:paraId="2ED9058A"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56B6396D" w14:textId="77777777" w:rsidR="00D86668" w:rsidRPr="005A2ED3" w:rsidRDefault="00D86668" w:rsidP="00C11675">
            <w:pPr>
              <w:rPr>
                <w:rFonts w:ascii="Arial Narrow" w:hAnsi="Arial Narrow" w:cs="Calibri"/>
                <w:sz w:val="20"/>
                <w:szCs w:val="20"/>
              </w:rPr>
            </w:pPr>
          </w:p>
        </w:tc>
        <w:tc>
          <w:tcPr>
            <w:tcW w:w="851" w:type="dxa"/>
            <w:shd w:val="clear" w:color="auto" w:fill="FFFFFF" w:themeFill="background1"/>
            <w:vAlign w:val="center"/>
            <w:hideMark/>
          </w:tcPr>
          <w:p w14:paraId="27C5F094"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6FAB1968"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10 848 444</w:t>
            </w:r>
          </w:p>
        </w:tc>
        <w:tc>
          <w:tcPr>
            <w:tcW w:w="1134" w:type="dxa"/>
            <w:shd w:val="clear" w:color="auto" w:fill="FFFFFF" w:themeFill="background1"/>
            <w:vAlign w:val="center"/>
          </w:tcPr>
          <w:p w14:paraId="11FA9B1A"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2 881 660</w:t>
            </w:r>
          </w:p>
        </w:tc>
        <w:tc>
          <w:tcPr>
            <w:tcW w:w="1275" w:type="dxa"/>
            <w:shd w:val="clear" w:color="auto" w:fill="FFFFFF" w:themeFill="background1"/>
            <w:vAlign w:val="center"/>
          </w:tcPr>
          <w:p w14:paraId="561CF2B6"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13 730 104</w:t>
            </w:r>
          </w:p>
        </w:tc>
        <w:tc>
          <w:tcPr>
            <w:tcW w:w="2694" w:type="dxa"/>
            <w:shd w:val="clear" w:color="auto" w:fill="FFFFFF" w:themeFill="background1"/>
          </w:tcPr>
          <w:p w14:paraId="2F9807C9" w14:textId="77777777" w:rsidR="00D86668" w:rsidRPr="00982046" w:rsidRDefault="00D86668" w:rsidP="00C11675">
            <w:pPr>
              <w:rPr>
                <w:rFonts w:ascii="Arial Narrow" w:hAnsi="Arial Narrow" w:cs="Calibri"/>
                <w:sz w:val="20"/>
                <w:szCs w:val="20"/>
              </w:rPr>
            </w:pPr>
            <w:r w:rsidRPr="00982046">
              <w:rPr>
                <w:rFonts w:ascii="Arial Narrow" w:hAnsi="Arial Narrow" w:cs="Calibri"/>
                <w:sz w:val="20"/>
                <w:szCs w:val="20"/>
              </w:rPr>
              <w:t>Presun 1 515 563 EUR z PO3, ŠC 31  a 1 366 097 EUR z PO1, ŠC11.</w:t>
            </w:r>
          </w:p>
        </w:tc>
      </w:tr>
      <w:tr w:rsidR="00D86668" w:rsidRPr="005A2ED3" w14:paraId="13A57F85" w14:textId="77777777" w:rsidTr="00D86668">
        <w:tc>
          <w:tcPr>
            <w:tcW w:w="1129" w:type="dxa"/>
            <w:vMerge/>
            <w:shd w:val="clear" w:color="auto" w:fill="FFFFFF" w:themeFill="background1"/>
            <w:vAlign w:val="center"/>
            <w:hideMark/>
          </w:tcPr>
          <w:p w14:paraId="2C5F4069"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5D36BF81"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2.1.2 Centrá integrovanej zdravotnej starostlivosti</w:t>
            </w:r>
          </w:p>
        </w:tc>
        <w:tc>
          <w:tcPr>
            <w:tcW w:w="851" w:type="dxa"/>
            <w:shd w:val="clear" w:color="auto" w:fill="FFFFFF" w:themeFill="background1"/>
            <w:vAlign w:val="center"/>
            <w:hideMark/>
          </w:tcPr>
          <w:p w14:paraId="185D9D05"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5A5D8488"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53 388 007</w:t>
            </w:r>
          </w:p>
        </w:tc>
        <w:tc>
          <w:tcPr>
            <w:tcW w:w="1134" w:type="dxa"/>
            <w:shd w:val="clear" w:color="auto" w:fill="FFFFFF" w:themeFill="background1"/>
            <w:vAlign w:val="center"/>
          </w:tcPr>
          <w:p w14:paraId="50B24CB1"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FFFFFF" w:themeFill="background1"/>
          </w:tcPr>
          <w:p w14:paraId="633502BB" w14:textId="77777777" w:rsidR="00D86668" w:rsidRPr="005A2ED3" w:rsidRDefault="00D86668" w:rsidP="00C11675">
            <w:pPr>
              <w:jc w:val="right"/>
              <w:rPr>
                <w:rFonts w:ascii="Arial Narrow" w:hAnsi="Arial Narrow" w:cs="Calibri"/>
                <w:sz w:val="20"/>
                <w:szCs w:val="20"/>
              </w:rPr>
            </w:pPr>
            <w:r w:rsidRPr="005D326A">
              <w:rPr>
                <w:rFonts w:ascii="Arial Narrow" w:hAnsi="Arial Narrow" w:cs="Calibri"/>
                <w:sz w:val="20"/>
                <w:szCs w:val="20"/>
              </w:rPr>
              <w:t>53 388 007</w:t>
            </w:r>
          </w:p>
        </w:tc>
        <w:tc>
          <w:tcPr>
            <w:tcW w:w="2694" w:type="dxa"/>
            <w:shd w:val="clear" w:color="auto" w:fill="FFFFFF" w:themeFill="background1"/>
          </w:tcPr>
          <w:p w14:paraId="03B6B760" w14:textId="77777777" w:rsidR="00D86668" w:rsidRPr="005D326A" w:rsidRDefault="00D86668" w:rsidP="00C11675">
            <w:pPr>
              <w:jc w:val="right"/>
              <w:rPr>
                <w:rFonts w:ascii="Arial Narrow" w:hAnsi="Arial Narrow" w:cs="Calibri"/>
                <w:sz w:val="20"/>
                <w:szCs w:val="20"/>
              </w:rPr>
            </w:pPr>
          </w:p>
        </w:tc>
      </w:tr>
      <w:tr w:rsidR="00D86668" w:rsidRPr="005A2ED3" w14:paraId="43BE5A17" w14:textId="77777777" w:rsidTr="00D86668">
        <w:tc>
          <w:tcPr>
            <w:tcW w:w="1129" w:type="dxa"/>
            <w:vMerge/>
            <w:shd w:val="clear" w:color="auto" w:fill="FFFFFF" w:themeFill="background1"/>
            <w:vAlign w:val="center"/>
            <w:hideMark/>
          </w:tcPr>
          <w:p w14:paraId="4F19DA25"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2DD2AC90"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0632D21A"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66B2F55A"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0</w:t>
            </w:r>
          </w:p>
        </w:tc>
        <w:tc>
          <w:tcPr>
            <w:tcW w:w="1134" w:type="dxa"/>
            <w:shd w:val="clear" w:color="auto" w:fill="FFFFFF" w:themeFill="background1"/>
            <w:vAlign w:val="center"/>
          </w:tcPr>
          <w:p w14:paraId="7A7B6997"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FFFFFF" w:themeFill="background1"/>
          </w:tcPr>
          <w:p w14:paraId="6B8EB546" w14:textId="77777777" w:rsidR="00D86668" w:rsidRPr="005A2ED3" w:rsidRDefault="00D86668" w:rsidP="00C11675">
            <w:pPr>
              <w:jc w:val="right"/>
              <w:rPr>
                <w:rFonts w:ascii="Arial Narrow" w:hAnsi="Arial Narrow" w:cs="Calibri"/>
                <w:sz w:val="20"/>
                <w:szCs w:val="20"/>
              </w:rPr>
            </w:pPr>
            <w:r w:rsidRPr="005D326A">
              <w:rPr>
                <w:rFonts w:ascii="Arial Narrow" w:hAnsi="Arial Narrow" w:cs="Calibri"/>
                <w:sz w:val="20"/>
                <w:szCs w:val="20"/>
              </w:rPr>
              <w:t>0</w:t>
            </w:r>
          </w:p>
        </w:tc>
        <w:tc>
          <w:tcPr>
            <w:tcW w:w="2694" w:type="dxa"/>
            <w:shd w:val="clear" w:color="auto" w:fill="FFFFFF" w:themeFill="background1"/>
          </w:tcPr>
          <w:p w14:paraId="5CCD1C2A" w14:textId="77777777" w:rsidR="00D86668" w:rsidRPr="005D326A" w:rsidRDefault="00D86668" w:rsidP="00C11675">
            <w:pPr>
              <w:jc w:val="right"/>
              <w:rPr>
                <w:rFonts w:ascii="Arial Narrow" w:hAnsi="Arial Narrow" w:cs="Calibri"/>
                <w:sz w:val="20"/>
                <w:szCs w:val="20"/>
              </w:rPr>
            </w:pPr>
          </w:p>
        </w:tc>
      </w:tr>
      <w:tr w:rsidR="00D86668" w:rsidRPr="005A2ED3" w14:paraId="09CBD7CC" w14:textId="77777777" w:rsidTr="00D86668">
        <w:tc>
          <w:tcPr>
            <w:tcW w:w="1129" w:type="dxa"/>
            <w:vMerge/>
            <w:shd w:val="clear" w:color="auto" w:fill="FFFFFF" w:themeFill="background1"/>
            <w:vAlign w:val="center"/>
            <w:hideMark/>
          </w:tcPr>
          <w:p w14:paraId="7892EE3B"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37CA5162"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2.1.3 Nemocnice</w:t>
            </w:r>
          </w:p>
        </w:tc>
        <w:tc>
          <w:tcPr>
            <w:tcW w:w="851" w:type="dxa"/>
            <w:shd w:val="clear" w:color="auto" w:fill="FFFFFF" w:themeFill="background1"/>
            <w:vAlign w:val="center"/>
            <w:hideMark/>
          </w:tcPr>
          <w:p w14:paraId="67A0F17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245D6743"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162 618 791</w:t>
            </w:r>
          </w:p>
        </w:tc>
        <w:tc>
          <w:tcPr>
            <w:tcW w:w="1134" w:type="dxa"/>
            <w:shd w:val="clear" w:color="auto" w:fill="FFFFFF" w:themeFill="background1"/>
            <w:vAlign w:val="center"/>
          </w:tcPr>
          <w:p w14:paraId="2E4F2BD0"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FFFFFF" w:themeFill="background1"/>
          </w:tcPr>
          <w:p w14:paraId="2E50A66D" w14:textId="77777777" w:rsidR="00D86668" w:rsidRPr="005A2ED3" w:rsidRDefault="00D86668" w:rsidP="00C11675">
            <w:pPr>
              <w:jc w:val="right"/>
              <w:rPr>
                <w:rFonts w:ascii="Arial Narrow" w:hAnsi="Arial Narrow" w:cs="Calibri"/>
                <w:sz w:val="20"/>
                <w:szCs w:val="20"/>
              </w:rPr>
            </w:pPr>
            <w:r w:rsidRPr="005D326A">
              <w:rPr>
                <w:rFonts w:ascii="Arial Narrow" w:hAnsi="Arial Narrow" w:cs="Calibri"/>
                <w:sz w:val="20"/>
                <w:szCs w:val="20"/>
              </w:rPr>
              <w:t>162 618 791</w:t>
            </w:r>
          </w:p>
        </w:tc>
        <w:tc>
          <w:tcPr>
            <w:tcW w:w="2694" w:type="dxa"/>
            <w:shd w:val="clear" w:color="auto" w:fill="FFFFFF" w:themeFill="background1"/>
          </w:tcPr>
          <w:p w14:paraId="670D7199" w14:textId="77777777" w:rsidR="00D86668" w:rsidRPr="005D326A" w:rsidRDefault="00D86668" w:rsidP="00C11675">
            <w:pPr>
              <w:jc w:val="right"/>
              <w:rPr>
                <w:rFonts w:ascii="Arial Narrow" w:hAnsi="Arial Narrow" w:cs="Calibri"/>
                <w:sz w:val="20"/>
                <w:szCs w:val="20"/>
              </w:rPr>
            </w:pPr>
          </w:p>
        </w:tc>
      </w:tr>
      <w:tr w:rsidR="00D86668" w:rsidRPr="005A2ED3" w14:paraId="6310A5A2" w14:textId="77777777" w:rsidTr="00D86668">
        <w:tc>
          <w:tcPr>
            <w:tcW w:w="1129" w:type="dxa"/>
            <w:vMerge/>
            <w:shd w:val="clear" w:color="auto" w:fill="FFFFFF" w:themeFill="background1"/>
            <w:vAlign w:val="center"/>
            <w:hideMark/>
          </w:tcPr>
          <w:p w14:paraId="6C225F16"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7DA6AEBF"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7E8ADAF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2FFFCA4B"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0</w:t>
            </w:r>
          </w:p>
        </w:tc>
        <w:tc>
          <w:tcPr>
            <w:tcW w:w="1134" w:type="dxa"/>
            <w:shd w:val="clear" w:color="auto" w:fill="FFFFFF" w:themeFill="background1"/>
            <w:vAlign w:val="center"/>
          </w:tcPr>
          <w:p w14:paraId="03006383"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FFFFFF" w:themeFill="background1"/>
          </w:tcPr>
          <w:p w14:paraId="40F637E9" w14:textId="77777777" w:rsidR="00D86668" w:rsidRPr="005A2ED3" w:rsidRDefault="00D86668" w:rsidP="00C11675">
            <w:pPr>
              <w:jc w:val="right"/>
              <w:rPr>
                <w:rFonts w:ascii="Arial Narrow" w:hAnsi="Arial Narrow" w:cs="Calibri"/>
                <w:sz w:val="20"/>
                <w:szCs w:val="20"/>
              </w:rPr>
            </w:pPr>
            <w:r w:rsidRPr="005D326A">
              <w:rPr>
                <w:rFonts w:ascii="Arial Narrow" w:hAnsi="Arial Narrow" w:cs="Calibri"/>
                <w:sz w:val="20"/>
                <w:szCs w:val="20"/>
              </w:rPr>
              <w:t>0</w:t>
            </w:r>
          </w:p>
        </w:tc>
        <w:tc>
          <w:tcPr>
            <w:tcW w:w="2694" w:type="dxa"/>
            <w:shd w:val="clear" w:color="auto" w:fill="FFFFFF" w:themeFill="background1"/>
          </w:tcPr>
          <w:p w14:paraId="40CBBCA4" w14:textId="77777777" w:rsidR="00D86668" w:rsidRPr="005D326A" w:rsidRDefault="00D86668" w:rsidP="00C11675">
            <w:pPr>
              <w:jc w:val="right"/>
              <w:rPr>
                <w:rFonts w:ascii="Arial Narrow" w:hAnsi="Arial Narrow" w:cs="Calibri"/>
                <w:sz w:val="20"/>
                <w:szCs w:val="20"/>
              </w:rPr>
            </w:pPr>
          </w:p>
        </w:tc>
      </w:tr>
      <w:tr w:rsidR="00D86668" w:rsidRPr="005A2ED3" w14:paraId="2367AE18" w14:textId="77777777" w:rsidTr="00D86668">
        <w:trPr>
          <w:trHeight w:val="597"/>
        </w:trPr>
        <w:tc>
          <w:tcPr>
            <w:tcW w:w="1129" w:type="dxa"/>
            <w:vMerge/>
            <w:shd w:val="clear" w:color="auto" w:fill="FFFFFF" w:themeFill="background1"/>
            <w:vAlign w:val="center"/>
          </w:tcPr>
          <w:p w14:paraId="10AF31B0"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tcPr>
          <w:p w14:paraId="2C11EDC1"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2.1.4 Posilnenie kapacít v zdravotníckom systéme a ochrana verejného zdravia ako reakciu na</w:t>
            </w:r>
            <w:r>
              <w:rPr>
                <w:rFonts w:ascii="Arial Narrow" w:hAnsi="Arial Narrow" w:cs="Calibri"/>
                <w:color w:val="000000"/>
                <w:sz w:val="20"/>
                <w:szCs w:val="20"/>
              </w:rPr>
              <w:t> </w:t>
            </w:r>
            <w:r w:rsidRPr="005A2ED3">
              <w:rPr>
                <w:rFonts w:ascii="Arial Narrow" w:hAnsi="Arial Narrow" w:cs="Calibri"/>
                <w:color w:val="000000"/>
                <w:sz w:val="20"/>
                <w:szCs w:val="20"/>
              </w:rPr>
              <w:t>pandémiu COVID-19</w:t>
            </w:r>
          </w:p>
        </w:tc>
        <w:tc>
          <w:tcPr>
            <w:tcW w:w="851" w:type="dxa"/>
            <w:shd w:val="clear" w:color="auto" w:fill="auto"/>
            <w:vAlign w:val="center"/>
          </w:tcPr>
          <w:p w14:paraId="46DABD29"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vAlign w:val="center"/>
          </w:tcPr>
          <w:p w14:paraId="5097A2A3"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82 112</w:t>
            </w:r>
            <w:r>
              <w:rPr>
                <w:rFonts w:ascii="Arial Narrow" w:hAnsi="Arial Narrow" w:cs="Calibri"/>
                <w:sz w:val="20"/>
                <w:szCs w:val="20"/>
              </w:rPr>
              <w:t> </w:t>
            </w:r>
            <w:r w:rsidRPr="00FD7F87">
              <w:rPr>
                <w:rFonts w:ascii="Arial Narrow" w:hAnsi="Arial Narrow" w:cs="Calibri"/>
                <w:sz w:val="20"/>
                <w:szCs w:val="20"/>
              </w:rPr>
              <w:t>570</w:t>
            </w:r>
          </w:p>
        </w:tc>
        <w:tc>
          <w:tcPr>
            <w:tcW w:w="1134" w:type="dxa"/>
            <w:shd w:val="clear" w:color="auto" w:fill="auto"/>
            <w:vAlign w:val="center"/>
          </w:tcPr>
          <w:p w14:paraId="644731C3"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0</w:t>
            </w:r>
          </w:p>
        </w:tc>
        <w:tc>
          <w:tcPr>
            <w:tcW w:w="1275" w:type="dxa"/>
            <w:shd w:val="clear" w:color="auto" w:fill="auto"/>
            <w:vAlign w:val="center"/>
          </w:tcPr>
          <w:p w14:paraId="1A4CEAEC"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82 112 570</w:t>
            </w:r>
          </w:p>
        </w:tc>
        <w:tc>
          <w:tcPr>
            <w:tcW w:w="2694" w:type="dxa"/>
            <w:vMerge w:val="restart"/>
          </w:tcPr>
          <w:p w14:paraId="13DD147D" w14:textId="77777777" w:rsidR="00D86668" w:rsidRPr="00DD77FF" w:rsidRDefault="00D86668" w:rsidP="00C11675">
            <w:pPr>
              <w:rPr>
                <w:rFonts w:ascii="Arial Narrow" w:hAnsi="Arial Narrow" w:cs="Calibri"/>
                <w:sz w:val="20"/>
                <w:szCs w:val="20"/>
                <w:highlight w:val="yellow"/>
              </w:rPr>
            </w:pPr>
          </w:p>
        </w:tc>
      </w:tr>
      <w:tr w:rsidR="00D86668" w:rsidRPr="005A2ED3" w14:paraId="47E63A12" w14:textId="77777777" w:rsidTr="00D86668">
        <w:tc>
          <w:tcPr>
            <w:tcW w:w="1129" w:type="dxa"/>
            <w:vMerge/>
            <w:shd w:val="clear" w:color="auto" w:fill="FFFFFF" w:themeFill="background1"/>
            <w:vAlign w:val="center"/>
          </w:tcPr>
          <w:p w14:paraId="5B8E886A"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tcPr>
          <w:p w14:paraId="06141F1B" w14:textId="77777777" w:rsidR="00D86668" w:rsidRPr="005A2ED3" w:rsidRDefault="00D86668" w:rsidP="00C11675">
            <w:pPr>
              <w:rPr>
                <w:rFonts w:ascii="Arial Narrow" w:hAnsi="Arial Narrow" w:cs="Calibri"/>
                <w:color w:val="000000"/>
                <w:sz w:val="20"/>
                <w:szCs w:val="20"/>
                <w:highlight w:val="yellow"/>
              </w:rPr>
            </w:pPr>
          </w:p>
        </w:tc>
        <w:tc>
          <w:tcPr>
            <w:tcW w:w="851" w:type="dxa"/>
            <w:shd w:val="clear" w:color="auto" w:fill="auto"/>
            <w:vAlign w:val="center"/>
          </w:tcPr>
          <w:p w14:paraId="4CFA050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vAlign w:val="center"/>
          </w:tcPr>
          <w:p w14:paraId="2EA0D768"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35 191 102</w:t>
            </w:r>
          </w:p>
        </w:tc>
        <w:tc>
          <w:tcPr>
            <w:tcW w:w="1134" w:type="dxa"/>
            <w:shd w:val="clear" w:color="auto" w:fill="auto"/>
            <w:vAlign w:val="center"/>
          </w:tcPr>
          <w:p w14:paraId="6B748B24"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0</w:t>
            </w:r>
          </w:p>
        </w:tc>
        <w:tc>
          <w:tcPr>
            <w:tcW w:w="1275" w:type="dxa"/>
            <w:shd w:val="clear" w:color="auto" w:fill="auto"/>
            <w:vAlign w:val="center"/>
          </w:tcPr>
          <w:p w14:paraId="710AE687"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35 191 102</w:t>
            </w:r>
          </w:p>
        </w:tc>
        <w:tc>
          <w:tcPr>
            <w:tcW w:w="2694" w:type="dxa"/>
            <w:vMerge/>
          </w:tcPr>
          <w:p w14:paraId="4A3AAC06" w14:textId="77777777" w:rsidR="00D86668" w:rsidRPr="00DA5EC9" w:rsidRDefault="00D86668" w:rsidP="00C11675">
            <w:pPr>
              <w:jc w:val="right"/>
              <w:rPr>
                <w:rFonts w:ascii="Arial Narrow" w:hAnsi="Arial Narrow" w:cs="Calibri"/>
                <w:sz w:val="20"/>
                <w:szCs w:val="20"/>
              </w:rPr>
            </w:pPr>
          </w:p>
        </w:tc>
      </w:tr>
      <w:tr w:rsidR="00D86668" w:rsidRPr="005A2ED3" w14:paraId="785663C3" w14:textId="77777777" w:rsidTr="00D86668">
        <w:tc>
          <w:tcPr>
            <w:tcW w:w="1129" w:type="dxa"/>
            <w:vMerge/>
            <w:shd w:val="clear" w:color="auto" w:fill="FFFFFF" w:themeFill="background1"/>
            <w:vAlign w:val="center"/>
            <w:hideMark/>
          </w:tcPr>
          <w:p w14:paraId="664EA0D9"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717D9CA4"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2.2.1 Materské školy</w:t>
            </w:r>
          </w:p>
        </w:tc>
        <w:tc>
          <w:tcPr>
            <w:tcW w:w="851" w:type="dxa"/>
            <w:shd w:val="clear" w:color="auto" w:fill="FFFFFF" w:themeFill="background1"/>
            <w:vAlign w:val="center"/>
            <w:hideMark/>
          </w:tcPr>
          <w:p w14:paraId="7AEF2A6C"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443B7256"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69 069 279</w:t>
            </w:r>
          </w:p>
        </w:tc>
        <w:tc>
          <w:tcPr>
            <w:tcW w:w="1134" w:type="dxa"/>
            <w:shd w:val="clear" w:color="auto" w:fill="FFFFFF" w:themeFill="background1"/>
          </w:tcPr>
          <w:p w14:paraId="379E25E2" w14:textId="77777777" w:rsidR="00D86668" w:rsidRPr="005A2ED3" w:rsidRDefault="00D86668" w:rsidP="00C11675">
            <w:pPr>
              <w:jc w:val="right"/>
              <w:rPr>
                <w:rFonts w:ascii="Arial Narrow" w:hAnsi="Arial Narrow" w:cs="Calibri"/>
                <w:sz w:val="20"/>
                <w:szCs w:val="20"/>
              </w:rPr>
            </w:pPr>
          </w:p>
        </w:tc>
        <w:tc>
          <w:tcPr>
            <w:tcW w:w="1275" w:type="dxa"/>
            <w:shd w:val="clear" w:color="auto" w:fill="FFFFFF" w:themeFill="background1"/>
          </w:tcPr>
          <w:p w14:paraId="4920245F" w14:textId="77777777" w:rsidR="00D86668" w:rsidRPr="005A2ED3" w:rsidRDefault="00D86668" w:rsidP="00C11675">
            <w:pPr>
              <w:jc w:val="right"/>
              <w:rPr>
                <w:rFonts w:ascii="Arial Narrow" w:hAnsi="Arial Narrow" w:cs="Calibri"/>
                <w:sz w:val="20"/>
                <w:szCs w:val="20"/>
              </w:rPr>
            </w:pPr>
            <w:r w:rsidRPr="00CE520E">
              <w:rPr>
                <w:rFonts w:ascii="Arial Narrow" w:hAnsi="Arial Narrow" w:cs="Calibri"/>
                <w:sz w:val="20"/>
                <w:szCs w:val="20"/>
              </w:rPr>
              <w:t>69 069 279</w:t>
            </w:r>
          </w:p>
        </w:tc>
        <w:tc>
          <w:tcPr>
            <w:tcW w:w="2694" w:type="dxa"/>
            <w:shd w:val="clear" w:color="auto" w:fill="FFFFFF" w:themeFill="background1"/>
          </w:tcPr>
          <w:p w14:paraId="71201F1C" w14:textId="77777777" w:rsidR="00D86668" w:rsidRPr="00CE520E" w:rsidRDefault="00D86668" w:rsidP="00C11675">
            <w:pPr>
              <w:jc w:val="right"/>
              <w:rPr>
                <w:rFonts w:ascii="Arial Narrow" w:hAnsi="Arial Narrow" w:cs="Calibri"/>
                <w:sz w:val="20"/>
                <w:szCs w:val="20"/>
              </w:rPr>
            </w:pPr>
          </w:p>
        </w:tc>
      </w:tr>
      <w:tr w:rsidR="00D86668" w:rsidRPr="005A2ED3" w14:paraId="1EEDB3AB" w14:textId="77777777" w:rsidTr="00D86668">
        <w:tc>
          <w:tcPr>
            <w:tcW w:w="1129" w:type="dxa"/>
            <w:vMerge/>
            <w:shd w:val="clear" w:color="auto" w:fill="FFFFFF" w:themeFill="background1"/>
            <w:vAlign w:val="center"/>
            <w:hideMark/>
          </w:tcPr>
          <w:p w14:paraId="253E33F1"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5E5B6104"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72A5C6B1"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5CC47840"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7 503 209</w:t>
            </w:r>
          </w:p>
        </w:tc>
        <w:tc>
          <w:tcPr>
            <w:tcW w:w="1134" w:type="dxa"/>
            <w:shd w:val="clear" w:color="auto" w:fill="FFFFFF" w:themeFill="background1"/>
            <w:vAlign w:val="center"/>
          </w:tcPr>
          <w:p w14:paraId="78460424"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8 000 000</w:t>
            </w:r>
          </w:p>
        </w:tc>
        <w:tc>
          <w:tcPr>
            <w:tcW w:w="1275" w:type="dxa"/>
            <w:shd w:val="clear" w:color="auto" w:fill="FFFFFF" w:themeFill="background1"/>
            <w:vAlign w:val="center"/>
          </w:tcPr>
          <w:p w14:paraId="3119D190"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15 503</w:t>
            </w:r>
            <w:r>
              <w:rPr>
                <w:rFonts w:ascii="Arial Narrow" w:hAnsi="Arial Narrow" w:cs="Calibri"/>
                <w:sz w:val="20"/>
                <w:szCs w:val="20"/>
              </w:rPr>
              <w:t> </w:t>
            </w:r>
            <w:r w:rsidRPr="00DA5EC9">
              <w:rPr>
                <w:rFonts w:ascii="Arial Narrow" w:hAnsi="Arial Narrow" w:cs="Calibri"/>
                <w:sz w:val="20"/>
                <w:szCs w:val="20"/>
              </w:rPr>
              <w:t>209</w:t>
            </w:r>
          </w:p>
        </w:tc>
        <w:tc>
          <w:tcPr>
            <w:tcW w:w="2694" w:type="dxa"/>
            <w:shd w:val="clear" w:color="auto" w:fill="FFFFFF" w:themeFill="background1"/>
          </w:tcPr>
          <w:p w14:paraId="46895E26" w14:textId="77777777" w:rsidR="00D86668" w:rsidRPr="00DA5EC9" w:rsidRDefault="00D86668" w:rsidP="00C11675">
            <w:pPr>
              <w:rPr>
                <w:rFonts w:ascii="Arial Narrow" w:hAnsi="Arial Narrow" w:cs="Calibri"/>
                <w:sz w:val="20"/>
                <w:szCs w:val="20"/>
              </w:rPr>
            </w:pPr>
            <w:r w:rsidRPr="00D31207">
              <w:rPr>
                <w:rFonts w:ascii="Arial Narrow" w:hAnsi="Arial Narrow" w:cs="Calibri"/>
                <w:sz w:val="20"/>
                <w:szCs w:val="20"/>
              </w:rPr>
              <w:t>Presun 8 000 000  z PO3</w:t>
            </w:r>
            <w:r>
              <w:rPr>
                <w:rFonts w:ascii="Arial Narrow" w:hAnsi="Arial Narrow" w:cs="Calibri"/>
                <w:sz w:val="20"/>
                <w:szCs w:val="20"/>
              </w:rPr>
              <w:t>, ŠC 31.</w:t>
            </w:r>
          </w:p>
        </w:tc>
      </w:tr>
      <w:tr w:rsidR="00D86668" w:rsidRPr="005A2ED3" w14:paraId="4534C91B" w14:textId="77777777" w:rsidTr="00D86668">
        <w:tc>
          <w:tcPr>
            <w:tcW w:w="1129" w:type="dxa"/>
            <w:vMerge/>
            <w:shd w:val="clear" w:color="auto" w:fill="FFFFFF" w:themeFill="background1"/>
            <w:vAlign w:val="center"/>
            <w:hideMark/>
          </w:tcPr>
          <w:p w14:paraId="20127520"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7F240378"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2.2.2  Základné školy</w:t>
            </w:r>
          </w:p>
        </w:tc>
        <w:tc>
          <w:tcPr>
            <w:tcW w:w="851" w:type="dxa"/>
            <w:shd w:val="clear" w:color="auto" w:fill="FFFFFF" w:themeFill="background1"/>
            <w:vAlign w:val="center"/>
            <w:hideMark/>
          </w:tcPr>
          <w:p w14:paraId="23A6114D"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34F27072"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44 439 934</w:t>
            </w:r>
          </w:p>
        </w:tc>
        <w:tc>
          <w:tcPr>
            <w:tcW w:w="1134" w:type="dxa"/>
            <w:shd w:val="clear" w:color="auto" w:fill="FFFFFF" w:themeFill="background1"/>
            <w:vAlign w:val="center"/>
          </w:tcPr>
          <w:p w14:paraId="53D0851A"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0</w:t>
            </w:r>
          </w:p>
        </w:tc>
        <w:tc>
          <w:tcPr>
            <w:tcW w:w="1275" w:type="dxa"/>
            <w:shd w:val="clear" w:color="auto" w:fill="FFFFFF" w:themeFill="background1"/>
            <w:vAlign w:val="center"/>
          </w:tcPr>
          <w:p w14:paraId="018F1F6D"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44 439 934</w:t>
            </w:r>
          </w:p>
        </w:tc>
        <w:tc>
          <w:tcPr>
            <w:tcW w:w="2694" w:type="dxa"/>
            <w:shd w:val="clear" w:color="auto" w:fill="FFFFFF" w:themeFill="background1"/>
          </w:tcPr>
          <w:p w14:paraId="6AB53811" w14:textId="77777777" w:rsidR="00D86668" w:rsidRPr="00DA5EC9" w:rsidRDefault="00D86668" w:rsidP="00C11675">
            <w:pPr>
              <w:rPr>
                <w:rFonts w:ascii="Arial Narrow" w:hAnsi="Arial Narrow" w:cs="Calibri"/>
                <w:sz w:val="20"/>
                <w:szCs w:val="20"/>
              </w:rPr>
            </w:pPr>
          </w:p>
        </w:tc>
      </w:tr>
      <w:tr w:rsidR="00D86668" w:rsidRPr="005A2ED3" w14:paraId="3071D4B0" w14:textId="77777777" w:rsidTr="00D86668">
        <w:tc>
          <w:tcPr>
            <w:tcW w:w="1129" w:type="dxa"/>
            <w:vMerge/>
            <w:shd w:val="clear" w:color="auto" w:fill="FFFFFF" w:themeFill="background1"/>
            <w:vAlign w:val="center"/>
            <w:hideMark/>
          </w:tcPr>
          <w:p w14:paraId="1513E974"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37EFB60C"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0227B8F7"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48EF7D99"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3 751 604</w:t>
            </w:r>
          </w:p>
        </w:tc>
        <w:tc>
          <w:tcPr>
            <w:tcW w:w="1134" w:type="dxa"/>
            <w:shd w:val="clear" w:color="auto" w:fill="FFFFFF" w:themeFill="background1"/>
            <w:vAlign w:val="center"/>
          </w:tcPr>
          <w:p w14:paraId="26B23452"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-778 311</w:t>
            </w:r>
          </w:p>
        </w:tc>
        <w:tc>
          <w:tcPr>
            <w:tcW w:w="1275" w:type="dxa"/>
            <w:shd w:val="clear" w:color="auto" w:fill="FFFFFF" w:themeFill="background1"/>
            <w:vAlign w:val="center"/>
          </w:tcPr>
          <w:p w14:paraId="1D8E0130"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2 973 293</w:t>
            </w:r>
          </w:p>
        </w:tc>
        <w:tc>
          <w:tcPr>
            <w:tcW w:w="2694" w:type="dxa"/>
            <w:shd w:val="clear" w:color="auto" w:fill="FFFFFF" w:themeFill="background1"/>
          </w:tcPr>
          <w:p w14:paraId="6BD04848" w14:textId="77777777" w:rsidR="00D86668" w:rsidRPr="00DA5EC9" w:rsidRDefault="00D86668" w:rsidP="00C11675">
            <w:pPr>
              <w:rPr>
                <w:rFonts w:ascii="Arial Narrow" w:hAnsi="Arial Narrow" w:cs="Calibri"/>
                <w:sz w:val="20"/>
                <w:szCs w:val="20"/>
              </w:rPr>
            </w:pPr>
            <w:r>
              <w:rPr>
                <w:rFonts w:ascii="Arial Narrow" w:hAnsi="Arial Narrow" w:cs="Calibri"/>
                <w:sz w:val="20"/>
                <w:szCs w:val="20"/>
              </w:rPr>
              <w:t>Presun 778 311 do ŠC 223.</w:t>
            </w:r>
          </w:p>
        </w:tc>
      </w:tr>
      <w:tr w:rsidR="00D86668" w:rsidRPr="005A2ED3" w14:paraId="0B8A0545" w14:textId="77777777" w:rsidTr="00D86668">
        <w:tc>
          <w:tcPr>
            <w:tcW w:w="1129" w:type="dxa"/>
            <w:vMerge/>
            <w:shd w:val="clear" w:color="auto" w:fill="FFFFFF" w:themeFill="background1"/>
            <w:vAlign w:val="center"/>
            <w:hideMark/>
          </w:tcPr>
          <w:p w14:paraId="19F93862"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08F4D648"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2.2.3 Stredné odborné školy</w:t>
            </w:r>
          </w:p>
        </w:tc>
        <w:tc>
          <w:tcPr>
            <w:tcW w:w="851" w:type="dxa"/>
            <w:shd w:val="clear" w:color="auto" w:fill="FFFFFF" w:themeFill="background1"/>
            <w:vAlign w:val="center"/>
            <w:hideMark/>
          </w:tcPr>
          <w:p w14:paraId="33CD30F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61DD59E3"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124 805 701</w:t>
            </w:r>
          </w:p>
        </w:tc>
        <w:tc>
          <w:tcPr>
            <w:tcW w:w="1134" w:type="dxa"/>
            <w:shd w:val="clear" w:color="auto" w:fill="FFFFFF" w:themeFill="background1"/>
            <w:vAlign w:val="center"/>
          </w:tcPr>
          <w:p w14:paraId="03CE3C99"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0</w:t>
            </w:r>
          </w:p>
        </w:tc>
        <w:tc>
          <w:tcPr>
            <w:tcW w:w="1275" w:type="dxa"/>
            <w:shd w:val="clear" w:color="auto" w:fill="FFFFFF" w:themeFill="background1"/>
            <w:vAlign w:val="center"/>
          </w:tcPr>
          <w:p w14:paraId="19F778F9"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124 805 701</w:t>
            </w:r>
          </w:p>
        </w:tc>
        <w:tc>
          <w:tcPr>
            <w:tcW w:w="2694" w:type="dxa"/>
            <w:shd w:val="clear" w:color="auto" w:fill="FFFFFF" w:themeFill="background1"/>
          </w:tcPr>
          <w:p w14:paraId="45E8B58F" w14:textId="77777777" w:rsidR="00D86668" w:rsidRPr="00DA5EC9" w:rsidRDefault="00D86668" w:rsidP="00C11675">
            <w:pPr>
              <w:jc w:val="right"/>
              <w:rPr>
                <w:rFonts w:ascii="Arial Narrow" w:hAnsi="Arial Narrow" w:cs="Calibri"/>
                <w:sz w:val="20"/>
                <w:szCs w:val="20"/>
              </w:rPr>
            </w:pPr>
          </w:p>
        </w:tc>
      </w:tr>
      <w:tr w:rsidR="00D86668" w:rsidRPr="005A2ED3" w14:paraId="70E18765" w14:textId="77777777" w:rsidTr="00D86668">
        <w:tc>
          <w:tcPr>
            <w:tcW w:w="1129" w:type="dxa"/>
            <w:vMerge/>
            <w:shd w:val="clear" w:color="auto" w:fill="FFFFFF" w:themeFill="background1"/>
            <w:vAlign w:val="center"/>
            <w:hideMark/>
          </w:tcPr>
          <w:p w14:paraId="48F8E522"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0F7B249E"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02387E05"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4C473745"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8 441 110</w:t>
            </w:r>
          </w:p>
        </w:tc>
        <w:tc>
          <w:tcPr>
            <w:tcW w:w="1134" w:type="dxa"/>
            <w:shd w:val="clear" w:color="auto" w:fill="FFFFFF" w:themeFill="background1"/>
            <w:vAlign w:val="center"/>
          </w:tcPr>
          <w:p w14:paraId="63202769"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1 768 182</w:t>
            </w:r>
          </w:p>
        </w:tc>
        <w:tc>
          <w:tcPr>
            <w:tcW w:w="1275" w:type="dxa"/>
            <w:shd w:val="clear" w:color="auto" w:fill="FFFFFF" w:themeFill="background1"/>
            <w:vAlign w:val="center"/>
          </w:tcPr>
          <w:p w14:paraId="6394D3B7"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10 209 292</w:t>
            </w:r>
          </w:p>
        </w:tc>
        <w:tc>
          <w:tcPr>
            <w:tcW w:w="2694" w:type="dxa"/>
            <w:shd w:val="clear" w:color="auto" w:fill="FFFFFF" w:themeFill="background1"/>
          </w:tcPr>
          <w:p w14:paraId="5F8AF4E3" w14:textId="77777777" w:rsidR="00D86668" w:rsidRPr="00982046" w:rsidRDefault="00D86668" w:rsidP="00C11675">
            <w:pPr>
              <w:rPr>
                <w:rFonts w:ascii="Arial Narrow" w:hAnsi="Arial Narrow" w:cs="Calibri"/>
                <w:sz w:val="20"/>
                <w:szCs w:val="20"/>
              </w:rPr>
            </w:pPr>
            <w:r w:rsidRPr="00982046">
              <w:rPr>
                <w:rFonts w:ascii="Arial Narrow" w:hAnsi="Arial Narrow" w:cs="Calibri"/>
                <w:sz w:val="20"/>
                <w:szCs w:val="20"/>
              </w:rPr>
              <w:t>Presun 989 871 z PO3, ŠC 31 a presun 778 311 zo ŠC 222</w:t>
            </w:r>
            <w:r>
              <w:rPr>
                <w:rFonts w:ascii="Arial Narrow" w:hAnsi="Arial Narrow" w:cs="Calibri"/>
                <w:sz w:val="20"/>
                <w:szCs w:val="20"/>
              </w:rPr>
              <w:t>.</w:t>
            </w:r>
          </w:p>
        </w:tc>
      </w:tr>
      <w:tr w:rsidR="00D86668" w:rsidRPr="005A2ED3" w14:paraId="6D05C0C7" w14:textId="77777777" w:rsidTr="00D86668">
        <w:tc>
          <w:tcPr>
            <w:tcW w:w="1129" w:type="dxa"/>
            <w:vMerge/>
            <w:vAlign w:val="center"/>
            <w:hideMark/>
          </w:tcPr>
          <w:p w14:paraId="17143337"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7CFD92D4"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000000" w:fill="DCE6F1"/>
            <w:vAlign w:val="center"/>
            <w:hideMark/>
          </w:tcPr>
          <w:p w14:paraId="26F6C4A8"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000000" w:fill="DCE6F1"/>
          </w:tcPr>
          <w:p w14:paraId="63E31B66"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640 225 195</w:t>
            </w:r>
          </w:p>
        </w:tc>
        <w:tc>
          <w:tcPr>
            <w:tcW w:w="1134" w:type="dxa"/>
            <w:shd w:val="clear" w:color="auto" w:fill="DBE5F1" w:themeFill="accent1" w:themeFillTint="33"/>
            <w:vAlign w:val="center"/>
          </w:tcPr>
          <w:p w14:paraId="1A9F0501"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0</w:t>
            </w:r>
          </w:p>
        </w:tc>
        <w:tc>
          <w:tcPr>
            <w:tcW w:w="1275" w:type="dxa"/>
            <w:shd w:val="clear" w:color="auto" w:fill="DBE5F1" w:themeFill="accent1" w:themeFillTint="33"/>
            <w:vAlign w:val="center"/>
          </w:tcPr>
          <w:p w14:paraId="618FAEE2"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640 225 195</w:t>
            </w:r>
          </w:p>
        </w:tc>
        <w:tc>
          <w:tcPr>
            <w:tcW w:w="2694" w:type="dxa"/>
            <w:shd w:val="clear" w:color="auto" w:fill="DBE5F1" w:themeFill="accent1" w:themeFillTint="33"/>
          </w:tcPr>
          <w:p w14:paraId="603504CB" w14:textId="77777777" w:rsidR="00D86668" w:rsidRPr="00982046" w:rsidRDefault="00D86668" w:rsidP="00C11675">
            <w:pPr>
              <w:jc w:val="right"/>
              <w:rPr>
                <w:rFonts w:ascii="Arial Narrow" w:hAnsi="Arial Narrow" w:cs="Calibri"/>
                <w:sz w:val="20"/>
                <w:szCs w:val="20"/>
              </w:rPr>
            </w:pPr>
          </w:p>
        </w:tc>
      </w:tr>
      <w:tr w:rsidR="00D86668" w:rsidRPr="005A2ED3" w14:paraId="1B60B8AA" w14:textId="77777777" w:rsidTr="00D86668">
        <w:tc>
          <w:tcPr>
            <w:tcW w:w="1129" w:type="dxa"/>
            <w:vMerge/>
            <w:vAlign w:val="center"/>
            <w:hideMark/>
          </w:tcPr>
          <w:p w14:paraId="10C174C1"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68A8B74C"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000000" w:fill="DCE6F1"/>
            <w:vAlign w:val="center"/>
            <w:hideMark/>
          </w:tcPr>
          <w:p w14:paraId="2B8CDEBD"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000000" w:fill="DCE6F1"/>
          </w:tcPr>
          <w:p w14:paraId="5649C35D"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65 735 469</w:t>
            </w:r>
          </w:p>
        </w:tc>
        <w:tc>
          <w:tcPr>
            <w:tcW w:w="1134" w:type="dxa"/>
            <w:shd w:val="clear" w:color="auto" w:fill="DBE5F1" w:themeFill="accent1" w:themeFillTint="33"/>
            <w:vAlign w:val="center"/>
          </w:tcPr>
          <w:p w14:paraId="66D8A44B"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11 871 531</w:t>
            </w:r>
          </w:p>
        </w:tc>
        <w:tc>
          <w:tcPr>
            <w:tcW w:w="1275" w:type="dxa"/>
            <w:shd w:val="clear" w:color="auto" w:fill="DBE5F1" w:themeFill="accent1" w:themeFillTint="33"/>
            <w:vAlign w:val="center"/>
          </w:tcPr>
          <w:p w14:paraId="2023C576"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77 607 000</w:t>
            </w:r>
          </w:p>
        </w:tc>
        <w:tc>
          <w:tcPr>
            <w:tcW w:w="2694" w:type="dxa"/>
            <w:shd w:val="clear" w:color="auto" w:fill="DBE5F1" w:themeFill="accent1" w:themeFillTint="33"/>
          </w:tcPr>
          <w:p w14:paraId="175B0F25" w14:textId="77777777" w:rsidR="00D86668" w:rsidRPr="00982046" w:rsidRDefault="00D86668" w:rsidP="00C11675">
            <w:pPr>
              <w:jc w:val="right"/>
              <w:rPr>
                <w:rFonts w:ascii="Arial Narrow" w:hAnsi="Arial Narrow" w:cs="Calibri"/>
                <w:sz w:val="20"/>
                <w:szCs w:val="20"/>
              </w:rPr>
            </w:pPr>
          </w:p>
        </w:tc>
      </w:tr>
      <w:tr w:rsidR="00D86668" w:rsidRPr="005A2ED3" w14:paraId="1C54BB06" w14:textId="77777777" w:rsidTr="00D86668">
        <w:tc>
          <w:tcPr>
            <w:tcW w:w="1129" w:type="dxa"/>
            <w:vMerge/>
            <w:vAlign w:val="center"/>
            <w:hideMark/>
          </w:tcPr>
          <w:p w14:paraId="68990A67"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95B3D7" w:themeFill="accent1" w:themeFillTint="99"/>
            <w:vAlign w:val="center"/>
            <w:hideMark/>
          </w:tcPr>
          <w:p w14:paraId="5230F78B"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shd w:val="clear" w:color="auto" w:fill="95B3D7" w:themeFill="accent1" w:themeFillTint="99"/>
            <w:vAlign w:val="center"/>
            <w:hideMark/>
          </w:tcPr>
          <w:p w14:paraId="3B957F71"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tcPr>
          <w:p w14:paraId="7146D3C3"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705 960 664</w:t>
            </w:r>
          </w:p>
        </w:tc>
        <w:tc>
          <w:tcPr>
            <w:tcW w:w="1134" w:type="dxa"/>
            <w:shd w:val="clear" w:color="auto" w:fill="95B3D7" w:themeFill="accent1" w:themeFillTint="99"/>
            <w:vAlign w:val="center"/>
          </w:tcPr>
          <w:p w14:paraId="4536C525"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11 871 531</w:t>
            </w:r>
          </w:p>
        </w:tc>
        <w:tc>
          <w:tcPr>
            <w:tcW w:w="1275" w:type="dxa"/>
            <w:shd w:val="clear" w:color="auto" w:fill="95B3D7" w:themeFill="accent1" w:themeFillTint="99"/>
            <w:vAlign w:val="center"/>
          </w:tcPr>
          <w:p w14:paraId="6135E618" w14:textId="77777777" w:rsidR="00D86668" w:rsidRPr="005A2ED3" w:rsidRDefault="00D86668" w:rsidP="00C11675">
            <w:pPr>
              <w:jc w:val="right"/>
              <w:rPr>
                <w:rFonts w:ascii="Arial Narrow" w:hAnsi="Arial Narrow" w:cs="Calibri"/>
                <w:sz w:val="20"/>
                <w:szCs w:val="20"/>
              </w:rPr>
            </w:pPr>
            <w:r w:rsidRPr="00DA5EC9">
              <w:rPr>
                <w:rFonts w:ascii="Arial Narrow" w:hAnsi="Arial Narrow" w:cs="Calibri"/>
                <w:sz w:val="20"/>
                <w:szCs w:val="20"/>
              </w:rPr>
              <w:t>717 832 195</w:t>
            </w:r>
          </w:p>
        </w:tc>
        <w:tc>
          <w:tcPr>
            <w:tcW w:w="2694" w:type="dxa"/>
            <w:shd w:val="clear" w:color="auto" w:fill="95B3D7" w:themeFill="accent1" w:themeFillTint="99"/>
          </w:tcPr>
          <w:p w14:paraId="6BC915C3" w14:textId="77777777" w:rsidR="00D86668" w:rsidRPr="00982046" w:rsidRDefault="00D86668" w:rsidP="00C11675">
            <w:pPr>
              <w:jc w:val="right"/>
              <w:rPr>
                <w:rFonts w:ascii="Arial Narrow" w:hAnsi="Arial Narrow" w:cs="Calibri"/>
                <w:sz w:val="20"/>
                <w:szCs w:val="20"/>
              </w:rPr>
            </w:pPr>
          </w:p>
        </w:tc>
      </w:tr>
      <w:tr w:rsidR="00D86668" w:rsidRPr="005A2ED3" w14:paraId="1D793666" w14:textId="77777777" w:rsidTr="00D86668">
        <w:tc>
          <w:tcPr>
            <w:tcW w:w="1129" w:type="dxa"/>
            <w:vMerge w:val="restart"/>
            <w:shd w:val="clear" w:color="auto" w:fill="auto"/>
            <w:vAlign w:val="center"/>
            <w:hideMark/>
          </w:tcPr>
          <w:p w14:paraId="79979F48" w14:textId="77777777" w:rsidR="00D86668" w:rsidRPr="005A2ED3" w:rsidRDefault="00D86668" w:rsidP="00C11675">
            <w:pPr>
              <w:jc w:val="center"/>
              <w:rPr>
                <w:rFonts w:ascii="Arial Narrow" w:hAnsi="Arial Narrow" w:cs="Calibri"/>
                <w:b/>
                <w:bCs/>
                <w:color w:val="000000"/>
                <w:sz w:val="20"/>
                <w:szCs w:val="20"/>
              </w:rPr>
            </w:pPr>
            <w:r w:rsidRPr="005A2ED3">
              <w:rPr>
                <w:rFonts w:ascii="Arial Narrow" w:hAnsi="Arial Narrow" w:cs="Calibri"/>
                <w:b/>
                <w:bCs/>
                <w:color w:val="000000"/>
                <w:sz w:val="20"/>
                <w:szCs w:val="20"/>
              </w:rPr>
              <w:t>3.Mobilizácia kreatívneho potenciálu v regiónoch</w:t>
            </w:r>
          </w:p>
        </w:tc>
        <w:tc>
          <w:tcPr>
            <w:tcW w:w="1701" w:type="dxa"/>
            <w:vMerge w:val="restart"/>
            <w:shd w:val="clear" w:color="auto" w:fill="auto"/>
            <w:vAlign w:val="center"/>
            <w:hideMark/>
          </w:tcPr>
          <w:p w14:paraId="48C67FA5"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3.1 Kultúrny a kreatívny priemysel</w:t>
            </w:r>
          </w:p>
        </w:tc>
        <w:tc>
          <w:tcPr>
            <w:tcW w:w="851" w:type="dxa"/>
            <w:shd w:val="clear" w:color="auto" w:fill="auto"/>
            <w:vAlign w:val="center"/>
            <w:hideMark/>
          </w:tcPr>
          <w:p w14:paraId="021BCBC4"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tcPr>
          <w:p w14:paraId="7F64C41D"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103 369 540</w:t>
            </w:r>
          </w:p>
        </w:tc>
        <w:tc>
          <w:tcPr>
            <w:tcW w:w="1134" w:type="dxa"/>
            <w:shd w:val="clear" w:color="auto" w:fill="auto"/>
            <w:vAlign w:val="center"/>
          </w:tcPr>
          <w:p w14:paraId="57C4894B"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auto"/>
            <w:vAlign w:val="center"/>
          </w:tcPr>
          <w:p w14:paraId="29D3DD49"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103 369 540</w:t>
            </w:r>
          </w:p>
        </w:tc>
        <w:tc>
          <w:tcPr>
            <w:tcW w:w="2694" w:type="dxa"/>
          </w:tcPr>
          <w:p w14:paraId="3FDD0798" w14:textId="77777777" w:rsidR="00D86668" w:rsidRPr="00982046" w:rsidRDefault="00D86668" w:rsidP="00C11675">
            <w:pPr>
              <w:jc w:val="right"/>
              <w:rPr>
                <w:rFonts w:ascii="Arial Narrow" w:hAnsi="Arial Narrow" w:cs="Calibri"/>
                <w:sz w:val="20"/>
                <w:szCs w:val="20"/>
              </w:rPr>
            </w:pPr>
          </w:p>
        </w:tc>
      </w:tr>
      <w:tr w:rsidR="00D86668" w:rsidRPr="005A2ED3" w14:paraId="78B9E1D3" w14:textId="77777777" w:rsidTr="00D86668">
        <w:tc>
          <w:tcPr>
            <w:tcW w:w="1129" w:type="dxa"/>
            <w:vMerge/>
            <w:vAlign w:val="center"/>
            <w:hideMark/>
          </w:tcPr>
          <w:p w14:paraId="4E28BB46" w14:textId="77777777" w:rsidR="00D86668" w:rsidRPr="005A2ED3" w:rsidRDefault="00D86668" w:rsidP="00C11675">
            <w:pPr>
              <w:rPr>
                <w:rFonts w:ascii="Arial Narrow" w:hAnsi="Arial Narrow" w:cs="Calibri"/>
                <w:b/>
                <w:bCs/>
                <w:color w:val="000000"/>
                <w:sz w:val="20"/>
                <w:szCs w:val="20"/>
              </w:rPr>
            </w:pPr>
          </w:p>
        </w:tc>
        <w:tc>
          <w:tcPr>
            <w:tcW w:w="1701" w:type="dxa"/>
            <w:vMerge/>
            <w:vAlign w:val="center"/>
            <w:hideMark/>
          </w:tcPr>
          <w:p w14:paraId="0BA54C91" w14:textId="77777777" w:rsidR="00D86668" w:rsidRPr="005A2ED3" w:rsidRDefault="00D86668" w:rsidP="00C11675">
            <w:pPr>
              <w:rPr>
                <w:rFonts w:ascii="Arial Narrow" w:hAnsi="Arial Narrow" w:cs="Calibri"/>
                <w:color w:val="000000"/>
                <w:sz w:val="20"/>
                <w:szCs w:val="20"/>
              </w:rPr>
            </w:pPr>
          </w:p>
        </w:tc>
        <w:tc>
          <w:tcPr>
            <w:tcW w:w="851" w:type="dxa"/>
            <w:shd w:val="clear" w:color="auto" w:fill="auto"/>
            <w:vAlign w:val="center"/>
            <w:hideMark/>
          </w:tcPr>
          <w:p w14:paraId="5F770BE0"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tcPr>
          <w:p w14:paraId="750F68DD"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18 758 021</w:t>
            </w:r>
          </w:p>
        </w:tc>
        <w:tc>
          <w:tcPr>
            <w:tcW w:w="1134" w:type="dxa"/>
            <w:shd w:val="clear" w:color="auto" w:fill="auto"/>
            <w:vAlign w:val="center"/>
          </w:tcPr>
          <w:p w14:paraId="6B36D3FA"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-10 737 549</w:t>
            </w:r>
          </w:p>
        </w:tc>
        <w:tc>
          <w:tcPr>
            <w:tcW w:w="1275" w:type="dxa"/>
            <w:shd w:val="clear" w:color="auto" w:fill="auto"/>
            <w:vAlign w:val="center"/>
          </w:tcPr>
          <w:p w14:paraId="316F1B07"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8 020 472</w:t>
            </w:r>
          </w:p>
        </w:tc>
        <w:tc>
          <w:tcPr>
            <w:tcW w:w="2694" w:type="dxa"/>
          </w:tcPr>
          <w:p w14:paraId="0E6CA31A" w14:textId="77777777" w:rsidR="00D86668" w:rsidRPr="00982046" w:rsidRDefault="00D86668" w:rsidP="00C11675">
            <w:pPr>
              <w:rPr>
                <w:rFonts w:ascii="Arial Narrow" w:hAnsi="Arial Narrow" w:cs="Calibri"/>
                <w:sz w:val="20"/>
                <w:szCs w:val="20"/>
              </w:rPr>
            </w:pPr>
            <w:r w:rsidRPr="00982046">
              <w:rPr>
                <w:rFonts w:ascii="Arial Narrow" w:hAnsi="Arial Narrow" w:cs="Calibri"/>
                <w:sz w:val="20"/>
                <w:szCs w:val="20"/>
              </w:rPr>
              <w:t>Presun 232 115 do ŠC 41, presun 989 871 EUR do ŠC 223, presun  8 000 000 do ŠC 221 a presun 1 515 563 do ŠC 211.</w:t>
            </w:r>
          </w:p>
        </w:tc>
      </w:tr>
      <w:tr w:rsidR="00D86668" w:rsidRPr="005A2ED3" w14:paraId="3933D1A1" w14:textId="77777777" w:rsidTr="00D86668">
        <w:tc>
          <w:tcPr>
            <w:tcW w:w="1129" w:type="dxa"/>
            <w:vMerge/>
            <w:vAlign w:val="center"/>
            <w:hideMark/>
          </w:tcPr>
          <w:p w14:paraId="0E196380"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DBE5F1" w:themeFill="accent1" w:themeFillTint="33"/>
            <w:vAlign w:val="center"/>
            <w:hideMark/>
          </w:tcPr>
          <w:p w14:paraId="7F0AE51C"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auto" w:fill="DBE5F1" w:themeFill="accent1" w:themeFillTint="33"/>
            <w:vAlign w:val="center"/>
            <w:hideMark/>
          </w:tcPr>
          <w:p w14:paraId="60046B8A"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DBE5F1" w:themeFill="accent1" w:themeFillTint="33"/>
          </w:tcPr>
          <w:p w14:paraId="249E7D74"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103 369 540</w:t>
            </w:r>
          </w:p>
        </w:tc>
        <w:tc>
          <w:tcPr>
            <w:tcW w:w="1134" w:type="dxa"/>
            <w:shd w:val="clear" w:color="auto" w:fill="DBE5F1" w:themeFill="accent1" w:themeFillTint="33"/>
            <w:vAlign w:val="center"/>
          </w:tcPr>
          <w:p w14:paraId="6F3F8954"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DBE5F1" w:themeFill="accent1" w:themeFillTint="33"/>
            <w:vAlign w:val="center"/>
          </w:tcPr>
          <w:p w14:paraId="73845293"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103 369 540</w:t>
            </w:r>
          </w:p>
        </w:tc>
        <w:tc>
          <w:tcPr>
            <w:tcW w:w="2694" w:type="dxa"/>
            <w:shd w:val="clear" w:color="auto" w:fill="DBE5F1" w:themeFill="accent1" w:themeFillTint="33"/>
          </w:tcPr>
          <w:p w14:paraId="3660C35F" w14:textId="77777777" w:rsidR="00D86668" w:rsidRPr="00690351" w:rsidRDefault="00D86668" w:rsidP="00C11675">
            <w:pPr>
              <w:jc w:val="right"/>
              <w:rPr>
                <w:rFonts w:ascii="Arial Narrow" w:hAnsi="Arial Narrow" w:cs="Calibri"/>
                <w:sz w:val="20"/>
                <w:szCs w:val="20"/>
              </w:rPr>
            </w:pPr>
          </w:p>
        </w:tc>
      </w:tr>
      <w:tr w:rsidR="00D86668" w:rsidRPr="005A2ED3" w14:paraId="6BFFB8B3" w14:textId="77777777" w:rsidTr="00D86668">
        <w:tc>
          <w:tcPr>
            <w:tcW w:w="1129" w:type="dxa"/>
            <w:vMerge/>
            <w:vAlign w:val="center"/>
            <w:hideMark/>
          </w:tcPr>
          <w:p w14:paraId="13FDD739"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DBE5F1" w:themeFill="accent1" w:themeFillTint="33"/>
            <w:vAlign w:val="center"/>
            <w:hideMark/>
          </w:tcPr>
          <w:p w14:paraId="0C364EFF"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auto" w:fill="DBE5F1" w:themeFill="accent1" w:themeFillTint="33"/>
            <w:vAlign w:val="center"/>
            <w:hideMark/>
          </w:tcPr>
          <w:p w14:paraId="1A814356"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DBE5F1" w:themeFill="accent1" w:themeFillTint="33"/>
          </w:tcPr>
          <w:p w14:paraId="6C0104A5"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18 758 021</w:t>
            </w:r>
          </w:p>
        </w:tc>
        <w:tc>
          <w:tcPr>
            <w:tcW w:w="1134" w:type="dxa"/>
            <w:shd w:val="clear" w:color="auto" w:fill="DBE5F1" w:themeFill="accent1" w:themeFillTint="33"/>
            <w:vAlign w:val="center"/>
          </w:tcPr>
          <w:p w14:paraId="7E1C15F0"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-10 737 549</w:t>
            </w:r>
          </w:p>
        </w:tc>
        <w:tc>
          <w:tcPr>
            <w:tcW w:w="1275" w:type="dxa"/>
            <w:shd w:val="clear" w:color="auto" w:fill="DBE5F1" w:themeFill="accent1" w:themeFillTint="33"/>
            <w:vAlign w:val="center"/>
          </w:tcPr>
          <w:p w14:paraId="16829CE3"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8 020 472</w:t>
            </w:r>
          </w:p>
        </w:tc>
        <w:tc>
          <w:tcPr>
            <w:tcW w:w="2694" w:type="dxa"/>
            <w:shd w:val="clear" w:color="auto" w:fill="DBE5F1" w:themeFill="accent1" w:themeFillTint="33"/>
          </w:tcPr>
          <w:p w14:paraId="2BC97E51" w14:textId="77777777" w:rsidR="00D86668" w:rsidRPr="00690351" w:rsidRDefault="00D86668" w:rsidP="00C11675">
            <w:pPr>
              <w:jc w:val="right"/>
              <w:rPr>
                <w:rFonts w:ascii="Arial Narrow" w:hAnsi="Arial Narrow" w:cs="Calibri"/>
                <w:sz w:val="20"/>
                <w:szCs w:val="20"/>
              </w:rPr>
            </w:pPr>
          </w:p>
        </w:tc>
      </w:tr>
      <w:tr w:rsidR="00D86668" w:rsidRPr="005A2ED3" w14:paraId="553420D9" w14:textId="77777777" w:rsidTr="00D86668">
        <w:tc>
          <w:tcPr>
            <w:tcW w:w="1129" w:type="dxa"/>
            <w:vMerge/>
            <w:vAlign w:val="center"/>
            <w:hideMark/>
          </w:tcPr>
          <w:p w14:paraId="4C5D8B9C"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95B3D7" w:themeFill="accent1" w:themeFillTint="99"/>
            <w:vAlign w:val="center"/>
            <w:hideMark/>
          </w:tcPr>
          <w:p w14:paraId="3BC1BEC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shd w:val="clear" w:color="auto" w:fill="95B3D7" w:themeFill="accent1" w:themeFillTint="99"/>
            <w:vAlign w:val="center"/>
            <w:hideMark/>
          </w:tcPr>
          <w:p w14:paraId="12BFDF36"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tcPr>
          <w:p w14:paraId="65E2E013"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122 127 561</w:t>
            </w:r>
          </w:p>
        </w:tc>
        <w:tc>
          <w:tcPr>
            <w:tcW w:w="1134" w:type="dxa"/>
            <w:shd w:val="clear" w:color="auto" w:fill="95B3D7" w:themeFill="accent1" w:themeFillTint="99"/>
            <w:vAlign w:val="center"/>
          </w:tcPr>
          <w:p w14:paraId="4BBB215A"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-10 737 549</w:t>
            </w:r>
          </w:p>
        </w:tc>
        <w:tc>
          <w:tcPr>
            <w:tcW w:w="1275" w:type="dxa"/>
            <w:shd w:val="clear" w:color="auto" w:fill="95B3D7" w:themeFill="accent1" w:themeFillTint="99"/>
            <w:vAlign w:val="center"/>
          </w:tcPr>
          <w:p w14:paraId="64FB5B7A"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111 390 012</w:t>
            </w:r>
          </w:p>
        </w:tc>
        <w:tc>
          <w:tcPr>
            <w:tcW w:w="2694" w:type="dxa"/>
            <w:shd w:val="clear" w:color="auto" w:fill="95B3D7" w:themeFill="accent1" w:themeFillTint="99"/>
          </w:tcPr>
          <w:p w14:paraId="19F132BC" w14:textId="77777777" w:rsidR="00D86668" w:rsidRPr="00690351" w:rsidRDefault="00D86668" w:rsidP="00C11675">
            <w:pPr>
              <w:jc w:val="right"/>
              <w:rPr>
                <w:rFonts w:ascii="Arial Narrow" w:hAnsi="Arial Narrow" w:cs="Calibri"/>
                <w:sz w:val="20"/>
                <w:szCs w:val="20"/>
              </w:rPr>
            </w:pPr>
          </w:p>
        </w:tc>
      </w:tr>
      <w:tr w:rsidR="00D86668" w:rsidRPr="005A2ED3" w14:paraId="1EF083A0" w14:textId="77777777" w:rsidTr="00D86668">
        <w:tc>
          <w:tcPr>
            <w:tcW w:w="1129" w:type="dxa"/>
            <w:vMerge w:val="restart"/>
            <w:shd w:val="clear" w:color="auto" w:fill="FFFFFF" w:themeFill="background1"/>
            <w:vAlign w:val="center"/>
            <w:hideMark/>
          </w:tcPr>
          <w:p w14:paraId="4BDD1AC5" w14:textId="77777777" w:rsidR="00D86668" w:rsidRPr="005A2ED3" w:rsidRDefault="00D86668" w:rsidP="00C11675">
            <w:pPr>
              <w:jc w:val="center"/>
              <w:rPr>
                <w:rFonts w:ascii="Arial Narrow" w:hAnsi="Arial Narrow" w:cs="Calibri"/>
                <w:b/>
                <w:bCs/>
                <w:color w:val="000000"/>
                <w:sz w:val="20"/>
                <w:szCs w:val="20"/>
              </w:rPr>
            </w:pPr>
            <w:r w:rsidRPr="005A2ED3">
              <w:rPr>
                <w:rFonts w:ascii="Arial Narrow" w:hAnsi="Arial Narrow" w:cs="Calibri"/>
                <w:b/>
                <w:bCs/>
                <w:color w:val="000000"/>
                <w:sz w:val="20"/>
                <w:szCs w:val="20"/>
              </w:rPr>
              <w:t>4. Zlepšenie kvality života v regiónoch s dôrazom na životné prostredie</w:t>
            </w:r>
          </w:p>
        </w:tc>
        <w:tc>
          <w:tcPr>
            <w:tcW w:w="1701" w:type="dxa"/>
            <w:vMerge w:val="restart"/>
            <w:shd w:val="clear" w:color="auto" w:fill="FFFFFF" w:themeFill="background1"/>
            <w:vAlign w:val="center"/>
            <w:hideMark/>
          </w:tcPr>
          <w:p w14:paraId="7C58CDA8"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4.1 Zvýšenie energetickej efektívnosti bytových domov</w:t>
            </w:r>
          </w:p>
        </w:tc>
        <w:tc>
          <w:tcPr>
            <w:tcW w:w="851" w:type="dxa"/>
            <w:shd w:val="clear" w:color="auto" w:fill="FFFFFF" w:themeFill="background1"/>
            <w:vAlign w:val="center"/>
            <w:hideMark/>
          </w:tcPr>
          <w:p w14:paraId="75D69AE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450210FF"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162 336 091</w:t>
            </w:r>
          </w:p>
        </w:tc>
        <w:tc>
          <w:tcPr>
            <w:tcW w:w="1134" w:type="dxa"/>
            <w:shd w:val="clear" w:color="auto" w:fill="FFFFFF" w:themeFill="background1"/>
            <w:vAlign w:val="center"/>
          </w:tcPr>
          <w:p w14:paraId="7B52E891"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FFFFFF" w:themeFill="background1"/>
            <w:vAlign w:val="center"/>
          </w:tcPr>
          <w:p w14:paraId="36B0EC07"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162 336 091</w:t>
            </w:r>
          </w:p>
        </w:tc>
        <w:tc>
          <w:tcPr>
            <w:tcW w:w="2694" w:type="dxa"/>
            <w:shd w:val="clear" w:color="auto" w:fill="FFFFFF" w:themeFill="background1"/>
          </w:tcPr>
          <w:p w14:paraId="3C5B8B01" w14:textId="77777777" w:rsidR="00D86668" w:rsidRPr="00690351" w:rsidRDefault="00D86668" w:rsidP="00C11675">
            <w:pPr>
              <w:jc w:val="right"/>
              <w:rPr>
                <w:rFonts w:ascii="Arial Narrow" w:hAnsi="Arial Narrow" w:cs="Calibri"/>
                <w:sz w:val="20"/>
                <w:szCs w:val="20"/>
              </w:rPr>
            </w:pPr>
          </w:p>
        </w:tc>
      </w:tr>
      <w:tr w:rsidR="00D86668" w:rsidRPr="005A2ED3" w14:paraId="711B9A46" w14:textId="77777777" w:rsidTr="00D86668">
        <w:tc>
          <w:tcPr>
            <w:tcW w:w="1129" w:type="dxa"/>
            <w:vMerge/>
            <w:shd w:val="clear" w:color="auto" w:fill="FFFFFF" w:themeFill="background1"/>
            <w:vAlign w:val="center"/>
            <w:hideMark/>
          </w:tcPr>
          <w:p w14:paraId="0BF657F0"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04983841"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5EB2D394"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0D6BB6ED"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13 288 217</w:t>
            </w:r>
          </w:p>
        </w:tc>
        <w:tc>
          <w:tcPr>
            <w:tcW w:w="1134" w:type="dxa"/>
            <w:shd w:val="clear" w:color="auto" w:fill="FFFFFF" w:themeFill="background1"/>
            <w:vAlign w:val="center"/>
          </w:tcPr>
          <w:p w14:paraId="7855539F"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864 555</w:t>
            </w:r>
          </w:p>
        </w:tc>
        <w:tc>
          <w:tcPr>
            <w:tcW w:w="1275" w:type="dxa"/>
            <w:shd w:val="clear" w:color="auto" w:fill="FFFFFF" w:themeFill="background1"/>
            <w:vAlign w:val="center"/>
          </w:tcPr>
          <w:p w14:paraId="7C75FD6F"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14 152 772</w:t>
            </w:r>
          </w:p>
        </w:tc>
        <w:tc>
          <w:tcPr>
            <w:tcW w:w="2694" w:type="dxa"/>
            <w:shd w:val="clear" w:color="auto" w:fill="FFFFFF" w:themeFill="background1"/>
          </w:tcPr>
          <w:p w14:paraId="55888322" w14:textId="77777777" w:rsidR="00D86668" w:rsidRPr="00690351" w:rsidRDefault="00D86668" w:rsidP="00C11675">
            <w:pPr>
              <w:rPr>
                <w:rFonts w:ascii="Arial Narrow" w:hAnsi="Arial Narrow" w:cs="Calibri"/>
                <w:sz w:val="20"/>
                <w:szCs w:val="20"/>
              </w:rPr>
            </w:pPr>
            <w:r w:rsidRPr="00F10B54">
              <w:rPr>
                <w:rFonts w:ascii="Arial Narrow" w:hAnsi="Arial Narrow" w:cs="Calibri"/>
                <w:sz w:val="20"/>
                <w:szCs w:val="20"/>
              </w:rPr>
              <w:t>Presun</w:t>
            </w:r>
            <w:r>
              <w:rPr>
                <w:rFonts w:ascii="Arial Narrow" w:hAnsi="Arial Narrow" w:cs="Calibri"/>
                <w:sz w:val="20"/>
                <w:szCs w:val="20"/>
              </w:rPr>
              <w:t xml:space="preserve"> </w:t>
            </w:r>
            <w:r w:rsidRPr="00F10B54">
              <w:rPr>
                <w:rFonts w:ascii="Arial Narrow" w:hAnsi="Arial Narrow" w:cs="Calibri"/>
                <w:sz w:val="20"/>
                <w:szCs w:val="20"/>
              </w:rPr>
              <w:t xml:space="preserve"> 167 853 EUR z PO1</w:t>
            </w:r>
            <w:r>
              <w:rPr>
                <w:rFonts w:ascii="Arial Narrow" w:hAnsi="Arial Narrow" w:cs="Calibri"/>
                <w:sz w:val="20"/>
                <w:szCs w:val="20"/>
              </w:rPr>
              <w:t>, presun</w:t>
            </w:r>
            <w:r w:rsidRPr="00F10B54">
              <w:rPr>
                <w:rFonts w:ascii="Arial Narrow" w:hAnsi="Arial Narrow" w:cs="Calibri"/>
                <w:sz w:val="20"/>
                <w:szCs w:val="20"/>
              </w:rPr>
              <w:t xml:space="preserve">  464 587 EUR z PO5</w:t>
            </w:r>
            <w:r>
              <w:rPr>
                <w:rFonts w:ascii="Arial Narrow" w:hAnsi="Arial Narrow" w:cs="Calibri"/>
                <w:sz w:val="20"/>
                <w:szCs w:val="20"/>
              </w:rPr>
              <w:t xml:space="preserve">, presun </w:t>
            </w:r>
            <w:r w:rsidRPr="00F10B54">
              <w:rPr>
                <w:rFonts w:ascii="Arial Narrow" w:hAnsi="Arial Narrow" w:cs="Calibri"/>
                <w:sz w:val="20"/>
                <w:szCs w:val="20"/>
              </w:rPr>
              <w:t>232 115  EUR z PO3</w:t>
            </w:r>
            <w:r>
              <w:rPr>
                <w:rFonts w:ascii="Arial Narrow" w:hAnsi="Arial Narrow" w:cs="Calibri"/>
                <w:sz w:val="20"/>
                <w:szCs w:val="20"/>
              </w:rPr>
              <w:t xml:space="preserve">. </w:t>
            </w:r>
          </w:p>
        </w:tc>
      </w:tr>
      <w:tr w:rsidR="00D86668" w:rsidRPr="005A2ED3" w14:paraId="783283F7" w14:textId="77777777" w:rsidTr="00D86668">
        <w:tc>
          <w:tcPr>
            <w:tcW w:w="1129" w:type="dxa"/>
            <w:vMerge/>
            <w:vAlign w:val="center"/>
            <w:hideMark/>
          </w:tcPr>
          <w:p w14:paraId="4AFA50FC"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0001C092"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4.2.1 Zásobovanie pitnou vodou a kanalizácie</w:t>
            </w:r>
          </w:p>
        </w:tc>
        <w:tc>
          <w:tcPr>
            <w:tcW w:w="851" w:type="dxa"/>
            <w:shd w:val="clear" w:color="auto" w:fill="FFFFFF" w:themeFill="background1"/>
            <w:vAlign w:val="center"/>
            <w:hideMark/>
          </w:tcPr>
          <w:p w14:paraId="5E455F87"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266EAA9E"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68 423 305</w:t>
            </w:r>
          </w:p>
        </w:tc>
        <w:tc>
          <w:tcPr>
            <w:tcW w:w="1134" w:type="dxa"/>
            <w:shd w:val="clear" w:color="auto" w:fill="FFFFFF" w:themeFill="background1"/>
            <w:vAlign w:val="center"/>
          </w:tcPr>
          <w:p w14:paraId="7E94384D"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-3 913 635</w:t>
            </w:r>
          </w:p>
        </w:tc>
        <w:tc>
          <w:tcPr>
            <w:tcW w:w="1275" w:type="dxa"/>
            <w:shd w:val="clear" w:color="auto" w:fill="FFFFFF" w:themeFill="background1"/>
            <w:vAlign w:val="center"/>
          </w:tcPr>
          <w:p w14:paraId="1740D810"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64 509 670</w:t>
            </w:r>
          </w:p>
        </w:tc>
        <w:tc>
          <w:tcPr>
            <w:tcW w:w="2694" w:type="dxa"/>
            <w:shd w:val="clear" w:color="auto" w:fill="FFFFFF" w:themeFill="background1"/>
          </w:tcPr>
          <w:p w14:paraId="2DAD9B7B" w14:textId="77777777" w:rsidR="00D86668" w:rsidRPr="00690351" w:rsidRDefault="00D86668" w:rsidP="00C11675">
            <w:pPr>
              <w:rPr>
                <w:rFonts w:ascii="Arial Narrow" w:hAnsi="Arial Narrow" w:cs="Calibri"/>
                <w:sz w:val="20"/>
                <w:szCs w:val="20"/>
              </w:rPr>
            </w:pPr>
            <w:r>
              <w:rPr>
                <w:rFonts w:ascii="Arial Narrow" w:hAnsi="Arial Narrow" w:cs="Calibri"/>
                <w:sz w:val="20"/>
                <w:szCs w:val="20"/>
              </w:rPr>
              <w:t xml:space="preserve">Presun </w:t>
            </w:r>
            <w:r w:rsidRPr="00F10B54">
              <w:rPr>
                <w:rFonts w:ascii="Arial Narrow" w:hAnsi="Arial Narrow" w:cs="Calibri"/>
                <w:sz w:val="20"/>
                <w:szCs w:val="20"/>
              </w:rPr>
              <w:t>3 913 635 EUR zo ŠC 421 do ŠC 431</w:t>
            </w:r>
            <w:r>
              <w:rPr>
                <w:rFonts w:ascii="Arial Narrow" w:hAnsi="Arial Narrow" w:cs="Calibri"/>
                <w:sz w:val="20"/>
                <w:szCs w:val="20"/>
              </w:rPr>
              <w:t>.</w:t>
            </w:r>
          </w:p>
        </w:tc>
      </w:tr>
      <w:tr w:rsidR="00D86668" w:rsidRPr="005A2ED3" w14:paraId="41A9A21F" w14:textId="77777777" w:rsidTr="00D86668">
        <w:tc>
          <w:tcPr>
            <w:tcW w:w="1129" w:type="dxa"/>
            <w:vMerge/>
            <w:vAlign w:val="center"/>
            <w:hideMark/>
          </w:tcPr>
          <w:p w14:paraId="44FD831B"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4C9B7DB2"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0431FC2C"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tcPr>
          <w:p w14:paraId="0CA3C3AF"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0</w:t>
            </w:r>
          </w:p>
        </w:tc>
        <w:tc>
          <w:tcPr>
            <w:tcW w:w="1134" w:type="dxa"/>
            <w:shd w:val="clear" w:color="auto" w:fill="FFFFFF" w:themeFill="background1"/>
            <w:vAlign w:val="center"/>
          </w:tcPr>
          <w:p w14:paraId="0196BDAF"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 </w:t>
            </w:r>
          </w:p>
        </w:tc>
        <w:tc>
          <w:tcPr>
            <w:tcW w:w="1275" w:type="dxa"/>
            <w:shd w:val="clear" w:color="auto" w:fill="FFFFFF" w:themeFill="background1"/>
            <w:vAlign w:val="center"/>
          </w:tcPr>
          <w:p w14:paraId="0EF7A364"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2694" w:type="dxa"/>
            <w:shd w:val="clear" w:color="auto" w:fill="FFFFFF" w:themeFill="background1"/>
          </w:tcPr>
          <w:p w14:paraId="4D43EB60" w14:textId="77777777" w:rsidR="00D86668" w:rsidRPr="00690351" w:rsidRDefault="00D86668" w:rsidP="00C11675">
            <w:pPr>
              <w:jc w:val="right"/>
              <w:rPr>
                <w:rFonts w:ascii="Arial Narrow" w:hAnsi="Arial Narrow" w:cs="Calibri"/>
                <w:sz w:val="20"/>
                <w:szCs w:val="20"/>
              </w:rPr>
            </w:pPr>
          </w:p>
        </w:tc>
      </w:tr>
      <w:tr w:rsidR="00D86668" w:rsidRPr="005A2ED3" w14:paraId="05D2847A" w14:textId="77777777" w:rsidTr="00D86668">
        <w:tc>
          <w:tcPr>
            <w:tcW w:w="1129" w:type="dxa"/>
            <w:vMerge/>
            <w:vAlign w:val="center"/>
            <w:hideMark/>
          </w:tcPr>
          <w:p w14:paraId="23BD5222"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3104B825" w14:textId="77777777" w:rsidR="00D86668" w:rsidRPr="005A2ED3" w:rsidRDefault="00D86668" w:rsidP="00C11675">
            <w:pPr>
              <w:rPr>
                <w:rFonts w:ascii="Arial Narrow" w:hAnsi="Arial Narrow" w:cs="Calibri"/>
                <w:color w:val="000000"/>
                <w:sz w:val="20"/>
                <w:szCs w:val="20"/>
              </w:rPr>
            </w:pPr>
            <w:r w:rsidRPr="005A2ED3">
              <w:rPr>
                <w:rFonts w:ascii="Arial Narrow" w:hAnsi="Arial Narrow" w:cs="Calibri"/>
                <w:color w:val="000000"/>
                <w:sz w:val="20"/>
                <w:szCs w:val="20"/>
              </w:rPr>
              <w:t>4.3.1 Zelená infraštruktúra</w:t>
            </w:r>
          </w:p>
        </w:tc>
        <w:tc>
          <w:tcPr>
            <w:tcW w:w="851" w:type="dxa"/>
            <w:shd w:val="clear" w:color="auto" w:fill="FFFFFF" w:themeFill="background1"/>
            <w:vAlign w:val="center"/>
            <w:hideMark/>
          </w:tcPr>
          <w:p w14:paraId="1D193C75"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FFFFFF" w:themeFill="background1"/>
          </w:tcPr>
          <w:p w14:paraId="6C312640"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51 980 608</w:t>
            </w:r>
          </w:p>
        </w:tc>
        <w:tc>
          <w:tcPr>
            <w:tcW w:w="1134" w:type="dxa"/>
            <w:shd w:val="clear" w:color="auto" w:fill="FFFFFF" w:themeFill="background1"/>
            <w:vAlign w:val="center"/>
          </w:tcPr>
          <w:p w14:paraId="3495459C"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3 913 635</w:t>
            </w:r>
          </w:p>
        </w:tc>
        <w:tc>
          <w:tcPr>
            <w:tcW w:w="1275" w:type="dxa"/>
            <w:shd w:val="clear" w:color="auto" w:fill="FFFFFF" w:themeFill="background1"/>
            <w:vAlign w:val="center"/>
          </w:tcPr>
          <w:p w14:paraId="5D9C3BED"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55 894</w:t>
            </w:r>
            <w:r>
              <w:rPr>
                <w:rFonts w:ascii="Arial Narrow" w:hAnsi="Arial Narrow" w:cs="Calibri"/>
                <w:sz w:val="20"/>
                <w:szCs w:val="20"/>
              </w:rPr>
              <w:t> </w:t>
            </w:r>
            <w:r w:rsidRPr="00690351">
              <w:rPr>
                <w:rFonts w:ascii="Arial Narrow" w:hAnsi="Arial Narrow" w:cs="Calibri"/>
                <w:sz w:val="20"/>
                <w:szCs w:val="20"/>
              </w:rPr>
              <w:t>243</w:t>
            </w:r>
          </w:p>
        </w:tc>
        <w:tc>
          <w:tcPr>
            <w:tcW w:w="2694" w:type="dxa"/>
            <w:shd w:val="clear" w:color="auto" w:fill="FFFFFF" w:themeFill="background1"/>
          </w:tcPr>
          <w:p w14:paraId="4DB3CD29" w14:textId="77777777" w:rsidR="00D86668" w:rsidRPr="00690351" w:rsidRDefault="00D86668" w:rsidP="00C11675">
            <w:pPr>
              <w:rPr>
                <w:rFonts w:ascii="Arial Narrow" w:hAnsi="Arial Narrow" w:cs="Calibri"/>
                <w:sz w:val="20"/>
                <w:szCs w:val="20"/>
              </w:rPr>
            </w:pPr>
            <w:r>
              <w:rPr>
                <w:rFonts w:ascii="Arial Narrow" w:hAnsi="Arial Narrow" w:cs="Calibri"/>
                <w:sz w:val="20"/>
                <w:szCs w:val="20"/>
              </w:rPr>
              <w:t xml:space="preserve">Presun </w:t>
            </w:r>
            <w:r w:rsidRPr="00F10B54">
              <w:rPr>
                <w:rFonts w:ascii="Arial Narrow" w:hAnsi="Arial Narrow" w:cs="Calibri"/>
                <w:sz w:val="20"/>
                <w:szCs w:val="20"/>
              </w:rPr>
              <w:t>3 913 635 EUR zo ŠC 421 do ŠC 431</w:t>
            </w:r>
            <w:r>
              <w:rPr>
                <w:rFonts w:ascii="Arial Narrow" w:hAnsi="Arial Narrow" w:cs="Calibri"/>
                <w:sz w:val="20"/>
                <w:szCs w:val="20"/>
              </w:rPr>
              <w:t>.</w:t>
            </w:r>
          </w:p>
        </w:tc>
      </w:tr>
      <w:tr w:rsidR="00D86668" w:rsidRPr="005A2ED3" w14:paraId="752AD7F5" w14:textId="77777777" w:rsidTr="00D86668">
        <w:tc>
          <w:tcPr>
            <w:tcW w:w="1129" w:type="dxa"/>
            <w:vMerge/>
            <w:vAlign w:val="center"/>
            <w:hideMark/>
          </w:tcPr>
          <w:p w14:paraId="7830E2FB"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0680ACE6" w14:textId="77777777" w:rsidR="00D86668" w:rsidRPr="005A2ED3" w:rsidRDefault="00D86668" w:rsidP="00C11675">
            <w:pPr>
              <w:rPr>
                <w:rFonts w:ascii="Arial Narrow" w:hAnsi="Arial Narrow" w:cs="Calibri"/>
                <w:color w:val="000000"/>
                <w:sz w:val="20"/>
                <w:szCs w:val="20"/>
              </w:rPr>
            </w:pPr>
          </w:p>
        </w:tc>
        <w:tc>
          <w:tcPr>
            <w:tcW w:w="851" w:type="dxa"/>
            <w:shd w:val="clear" w:color="auto" w:fill="FFFFFF" w:themeFill="background1"/>
            <w:vAlign w:val="center"/>
            <w:hideMark/>
          </w:tcPr>
          <w:p w14:paraId="1175B4D2"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FFFFFF" w:themeFill="background1"/>
            <w:vAlign w:val="center"/>
          </w:tcPr>
          <w:p w14:paraId="6BA697C8"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0</w:t>
            </w:r>
          </w:p>
        </w:tc>
        <w:tc>
          <w:tcPr>
            <w:tcW w:w="1134" w:type="dxa"/>
            <w:shd w:val="clear" w:color="auto" w:fill="FFFFFF" w:themeFill="background1"/>
            <w:vAlign w:val="center"/>
          </w:tcPr>
          <w:p w14:paraId="7119B609"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 </w:t>
            </w:r>
          </w:p>
        </w:tc>
        <w:tc>
          <w:tcPr>
            <w:tcW w:w="1275" w:type="dxa"/>
            <w:shd w:val="clear" w:color="auto" w:fill="FFFFFF" w:themeFill="background1"/>
            <w:vAlign w:val="center"/>
          </w:tcPr>
          <w:p w14:paraId="02696425"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2694" w:type="dxa"/>
            <w:shd w:val="clear" w:color="auto" w:fill="FFFFFF" w:themeFill="background1"/>
          </w:tcPr>
          <w:p w14:paraId="20339012" w14:textId="77777777" w:rsidR="00D86668" w:rsidRPr="00690351" w:rsidRDefault="00D86668" w:rsidP="00C11675">
            <w:pPr>
              <w:jc w:val="right"/>
              <w:rPr>
                <w:rFonts w:ascii="Arial Narrow" w:hAnsi="Arial Narrow" w:cs="Calibri"/>
                <w:sz w:val="20"/>
                <w:szCs w:val="20"/>
              </w:rPr>
            </w:pPr>
          </w:p>
        </w:tc>
      </w:tr>
      <w:tr w:rsidR="00D86668" w:rsidRPr="005A2ED3" w14:paraId="01371F10" w14:textId="77777777" w:rsidTr="00D86668">
        <w:tc>
          <w:tcPr>
            <w:tcW w:w="1129" w:type="dxa"/>
            <w:vMerge/>
            <w:vAlign w:val="center"/>
            <w:hideMark/>
          </w:tcPr>
          <w:p w14:paraId="07ABC58C"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DBE5F1" w:themeFill="accent1" w:themeFillTint="33"/>
            <w:vAlign w:val="center"/>
            <w:hideMark/>
          </w:tcPr>
          <w:p w14:paraId="63C642EE"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auto" w:fill="DBE5F1" w:themeFill="accent1" w:themeFillTint="33"/>
            <w:vAlign w:val="center"/>
            <w:hideMark/>
          </w:tcPr>
          <w:p w14:paraId="480291B5"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DBE5F1" w:themeFill="accent1" w:themeFillTint="33"/>
          </w:tcPr>
          <w:p w14:paraId="259CA027"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282 740 004</w:t>
            </w:r>
          </w:p>
        </w:tc>
        <w:tc>
          <w:tcPr>
            <w:tcW w:w="1134" w:type="dxa"/>
            <w:shd w:val="clear" w:color="auto" w:fill="DBE5F1" w:themeFill="accent1" w:themeFillTint="33"/>
            <w:vAlign w:val="center"/>
          </w:tcPr>
          <w:p w14:paraId="04B8B204"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DBE5F1" w:themeFill="accent1" w:themeFillTint="33"/>
            <w:vAlign w:val="center"/>
          </w:tcPr>
          <w:p w14:paraId="3C91FF9F"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282 740 004</w:t>
            </w:r>
          </w:p>
        </w:tc>
        <w:tc>
          <w:tcPr>
            <w:tcW w:w="2694" w:type="dxa"/>
            <w:shd w:val="clear" w:color="auto" w:fill="DBE5F1" w:themeFill="accent1" w:themeFillTint="33"/>
          </w:tcPr>
          <w:p w14:paraId="48084B21" w14:textId="77777777" w:rsidR="00D86668" w:rsidRPr="00917A32" w:rsidRDefault="00D86668" w:rsidP="00C11675">
            <w:pPr>
              <w:jc w:val="right"/>
              <w:rPr>
                <w:rFonts w:ascii="Arial Narrow" w:hAnsi="Arial Narrow" w:cs="Calibri"/>
                <w:sz w:val="20"/>
                <w:szCs w:val="20"/>
              </w:rPr>
            </w:pPr>
          </w:p>
        </w:tc>
      </w:tr>
      <w:tr w:rsidR="00D86668" w:rsidRPr="005A2ED3" w14:paraId="1038A539" w14:textId="77777777" w:rsidTr="00D86668">
        <w:tc>
          <w:tcPr>
            <w:tcW w:w="1129" w:type="dxa"/>
            <w:vMerge/>
            <w:vAlign w:val="center"/>
            <w:hideMark/>
          </w:tcPr>
          <w:p w14:paraId="3AAF55C5"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DBE5F1" w:themeFill="accent1" w:themeFillTint="33"/>
            <w:vAlign w:val="center"/>
            <w:hideMark/>
          </w:tcPr>
          <w:p w14:paraId="737A3FCE"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auto" w:fill="DBE5F1" w:themeFill="accent1" w:themeFillTint="33"/>
            <w:vAlign w:val="center"/>
            <w:hideMark/>
          </w:tcPr>
          <w:p w14:paraId="33EEB3F4"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DBE5F1" w:themeFill="accent1" w:themeFillTint="33"/>
          </w:tcPr>
          <w:p w14:paraId="677A63B1"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13 288 217</w:t>
            </w:r>
          </w:p>
        </w:tc>
        <w:tc>
          <w:tcPr>
            <w:tcW w:w="1134" w:type="dxa"/>
            <w:shd w:val="clear" w:color="auto" w:fill="DBE5F1" w:themeFill="accent1" w:themeFillTint="33"/>
            <w:vAlign w:val="center"/>
          </w:tcPr>
          <w:p w14:paraId="5D4F6526"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864 555</w:t>
            </w:r>
          </w:p>
        </w:tc>
        <w:tc>
          <w:tcPr>
            <w:tcW w:w="1275" w:type="dxa"/>
            <w:shd w:val="clear" w:color="auto" w:fill="DBE5F1" w:themeFill="accent1" w:themeFillTint="33"/>
            <w:vAlign w:val="center"/>
          </w:tcPr>
          <w:p w14:paraId="49E85991"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14 152 772</w:t>
            </w:r>
          </w:p>
        </w:tc>
        <w:tc>
          <w:tcPr>
            <w:tcW w:w="2694" w:type="dxa"/>
            <w:shd w:val="clear" w:color="auto" w:fill="DBE5F1" w:themeFill="accent1" w:themeFillTint="33"/>
          </w:tcPr>
          <w:p w14:paraId="71C0E5B1" w14:textId="77777777" w:rsidR="00D86668" w:rsidRPr="00690351" w:rsidRDefault="00D86668" w:rsidP="00C11675">
            <w:pPr>
              <w:jc w:val="right"/>
              <w:rPr>
                <w:rFonts w:ascii="Arial Narrow" w:hAnsi="Arial Narrow" w:cs="Calibri"/>
                <w:sz w:val="20"/>
                <w:szCs w:val="20"/>
              </w:rPr>
            </w:pPr>
          </w:p>
        </w:tc>
      </w:tr>
      <w:tr w:rsidR="00D86668" w:rsidRPr="005A2ED3" w14:paraId="79E8AAE1" w14:textId="77777777" w:rsidTr="00D86668">
        <w:tc>
          <w:tcPr>
            <w:tcW w:w="1129" w:type="dxa"/>
            <w:vMerge/>
            <w:vAlign w:val="center"/>
            <w:hideMark/>
          </w:tcPr>
          <w:p w14:paraId="6827412A" w14:textId="77777777" w:rsidR="00D86668" w:rsidRPr="005A2ED3" w:rsidRDefault="00D86668" w:rsidP="00C11675">
            <w:pPr>
              <w:rPr>
                <w:rFonts w:ascii="Arial Narrow" w:hAnsi="Arial Narrow" w:cs="Calibri"/>
                <w:b/>
                <w:bCs/>
                <w:color w:val="000000"/>
                <w:sz w:val="20"/>
                <w:szCs w:val="20"/>
              </w:rPr>
            </w:pPr>
          </w:p>
        </w:tc>
        <w:tc>
          <w:tcPr>
            <w:tcW w:w="1701" w:type="dxa"/>
            <w:shd w:val="clear" w:color="auto" w:fill="95B3D7" w:themeFill="accent1" w:themeFillTint="99"/>
            <w:vAlign w:val="center"/>
            <w:hideMark/>
          </w:tcPr>
          <w:p w14:paraId="44FBD0B5"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shd w:val="clear" w:color="auto" w:fill="95B3D7" w:themeFill="accent1" w:themeFillTint="99"/>
            <w:vAlign w:val="center"/>
            <w:hideMark/>
          </w:tcPr>
          <w:p w14:paraId="0B82918A"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tcPr>
          <w:p w14:paraId="2B16102F"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296 028</w:t>
            </w:r>
            <w:r>
              <w:rPr>
                <w:rFonts w:ascii="Arial Narrow" w:hAnsi="Arial Narrow" w:cs="Calibri"/>
                <w:sz w:val="20"/>
                <w:szCs w:val="20"/>
              </w:rPr>
              <w:t> </w:t>
            </w:r>
            <w:r w:rsidRPr="00917A32">
              <w:rPr>
                <w:rFonts w:ascii="Arial Narrow" w:hAnsi="Arial Narrow" w:cs="Calibri"/>
                <w:sz w:val="20"/>
                <w:szCs w:val="20"/>
              </w:rPr>
              <w:t>221</w:t>
            </w:r>
          </w:p>
        </w:tc>
        <w:tc>
          <w:tcPr>
            <w:tcW w:w="1134" w:type="dxa"/>
            <w:shd w:val="clear" w:color="auto" w:fill="95B3D7" w:themeFill="accent1" w:themeFillTint="99"/>
            <w:vAlign w:val="center"/>
          </w:tcPr>
          <w:p w14:paraId="0877A5A2"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864 555</w:t>
            </w:r>
          </w:p>
        </w:tc>
        <w:tc>
          <w:tcPr>
            <w:tcW w:w="1275" w:type="dxa"/>
            <w:shd w:val="clear" w:color="auto" w:fill="95B3D7" w:themeFill="accent1" w:themeFillTint="99"/>
            <w:vAlign w:val="center"/>
          </w:tcPr>
          <w:p w14:paraId="7119E10F" w14:textId="77777777" w:rsidR="00D86668" w:rsidRPr="005A2ED3" w:rsidRDefault="00D86668" w:rsidP="00C11675">
            <w:pPr>
              <w:jc w:val="right"/>
              <w:rPr>
                <w:rFonts w:ascii="Arial Narrow" w:hAnsi="Arial Narrow" w:cs="Calibri"/>
                <w:sz w:val="20"/>
                <w:szCs w:val="20"/>
              </w:rPr>
            </w:pPr>
            <w:r>
              <w:rPr>
                <w:rFonts w:ascii="Arial Narrow" w:hAnsi="Arial Narrow" w:cs="Calibri"/>
                <w:sz w:val="20"/>
                <w:szCs w:val="20"/>
              </w:rPr>
              <w:t>296 892 776</w:t>
            </w:r>
          </w:p>
        </w:tc>
        <w:tc>
          <w:tcPr>
            <w:tcW w:w="2694" w:type="dxa"/>
            <w:shd w:val="clear" w:color="auto" w:fill="95B3D7" w:themeFill="accent1" w:themeFillTint="99"/>
          </w:tcPr>
          <w:p w14:paraId="08DBF8E9" w14:textId="77777777" w:rsidR="00D86668" w:rsidRDefault="00D86668" w:rsidP="00C11675">
            <w:pPr>
              <w:jc w:val="right"/>
              <w:rPr>
                <w:rFonts w:ascii="Arial Narrow" w:hAnsi="Arial Narrow" w:cs="Calibri"/>
                <w:sz w:val="20"/>
                <w:szCs w:val="20"/>
              </w:rPr>
            </w:pPr>
          </w:p>
        </w:tc>
      </w:tr>
      <w:tr w:rsidR="00D86668" w:rsidRPr="005A2ED3" w14:paraId="06CE1328" w14:textId="77777777" w:rsidTr="00D86668">
        <w:tc>
          <w:tcPr>
            <w:tcW w:w="1129" w:type="dxa"/>
            <w:vMerge w:val="restart"/>
            <w:shd w:val="clear" w:color="auto" w:fill="auto"/>
            <w:vAlign w:val="center"/>
            <w:hideMark/>
          </w:tcPr>
          <w:p w14:paraId="6DF06854" w14:textId="77777777" w:rsidR="00D86668" w:rsidRPr="005A2ED3" w:rsidRDefault="00D86668" w:rsidP="00C11675">
            <w:pPr>
              <w:jc w:val="center"/>
              <w:rPr>
                <w:rFonts w:ascii="Arial Narrow" w:hAnsi="Arial Narrow" w:cs="Calibri"/>
                <w:b/>
                <w:bCs/>
                <w:sz w:val="20"/>
                <w:szCs w:val="20"/>
              </w:rPr>
            </w:pPr>
            <w:r w:rsidRPr="005A2ED3">
              <w:rPr>
                <w:rFonts w:ascii="Arial Narrow" w:hAnsi="Arial Narrow" w:cs="Calibri"/>
                <w:b/>
                <w:bCs/>
                <w:sz w:val="20"/>
                <w:szCs w:val="20"/>
              </w:rPr>
              <w:t>5. Miestny rozvoj vedený komunitou</w:t>
            </w:r>
          </w:p>
        </w:tc>
        <w:tc>
          <w:tcPr>
            <w:tcW w:w="1701" w:type="dxa"/>
            <w:vMerge w:val="restart"/>
            <w:shd w:val="clear" w:color="auto" w:fill="auto"/>
            <w:vAlign w:val="center"/>
            <w:hideMark/>
          </w:tcPr>
          <w:p w14:paraId="3ADF629D" w14:textId="77777777" w:rsidR="00D86668" w:rsidRPr="005A2ED3" w:rsidRDefault="00D86668" w:rsidP="00C11675">
            <w:pPr>
              <w:rPr>
                <w:rFonts w:ascii="Arial Narrow" w:hAnsi="Arial Narrow" w:cs="Calibri"/>
                <w:sz w:val="20"/>
                <w:szCs w:val="20"/>
              </w:rPr>
            </w:pPr>
            <w:r w:rsidRPr="005A2ED3">
              <w:rPr>
                <w:rFonts w:ascii="Arial Narrow" w:hAnsi="Arial Narrow" w:cs="Calibri"/>
                <w:sz w:val="20"/>
                <w:szCs w:val="20"/>
              </w:rPr>
              <w:t xml:space="preserve">5.1.1 Zvýšenie zamestnanosti </w:t>
            </w:r>
          </w:p>
        </w:tc>
        <w:tc>
          <w:tcPr>
            <w:tcW w:w="851" w:type="dxa"/>
            <w:shd w:val="clear" w:color="auto" w:fill="auto"/>
            <w:vAlign w:val="center"/>
            <w:hideMark/>
          </w:tcPr>
          <w:p w14:paraId="26D703D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auto"/>
          </w:tcPr>
          <w:p w14:paraId="21BC2588"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58 784 614</w:t>
            </w:r>
          </w:p>
        </w:tc>
        <w:tc>
          <w:tcPr>
            <w:tcW w:w="1134" w:type="dxa"/>
            <w:shd w:val="clear" w:color="auto" w:fill="auto"/>
            <w:vAlign w:val="center"/>
          </w:tcPr>
          <w:p w14:paraId="49F889A1"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-5 296 952</w:t>
            </w:r>
          </w:p>
        </w:tc>
        <w:tc>
          <w:tcPr>
            <w:tcW w:w="1275" w:type="dxa"/>
            <w:shd w:val="clear" w:color="auto" w:fill="auto"/>
            <w:vAlign w:val="center"/>
          </w:tcPr>
          <w:p w14:paraId="5EC4BA4E"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53 487 662</w:t>
            </w:r>
          </w:p>
        </w:tc>
        <w:tc>
          <w:tcPr>
            <w:tcW w:w="2694" w:type="dxa"/>
          </w:tcPr>
          <w:p w14:paraId="3C2C33DA" w14:textId="77777777" w:rsidR="00D86668" w:rsidRPr="00690351" w:rsidRDefault="00D86668" w:rsidP="00C11675">
            <w:pPr>
              <w:rPr>
                <w:rFonts w:ascii="Arial Narrow" w:hAnsi="Arial Narrow" w:cs="Calibri"/>
                <w:sz w:val="20"/>
                <w:szCs w:val="20"/>
              </w:rPr>
            </w:pPr>
            <w:r>
              <w:rPr>
                <w:rFonts w:ascii="Arial Narrow" w:hAnsi="Arial Narrow" w:cs="Calibri"/>
                <w:sz w:val="20"/>
                <w:szCs w:val="20"/>
              </w:rPr>
              <w:t>P</w:t>
            </w:r>
            <w:r w:rsidRPr="00414501">
              <w:rPr>
                <w:rFonts w:ascii="Arial Narrow" w:hAnsi="Arial Narrow" w:cs="Calibri"/>
                <w:sz w:val="20"/>
                <w:szCs w:val="20"/>
              </w:rPr>
              <w:t>resun 5 296 952 EUR</w:t>
            </w:r>
            <w:r>
              <w:rPr>
                <w:rFonts w:ascii="Arial Narrow" w:hAnsi="Arial Narrow" w:cs="Calibri"/>
                <w:sz w:val="20"/>
                <w:szCs w:val="20"/>
              </w:rPr>
              <w:t xml:space="preserve"> do PO 1, ŠC 11.</w:t>
            </w:r>
          </w:p>
        </w:tc>
      </w:tr>
      <w:tr w:rsidR="00D86668" w:rsidRPr="005A2ED3" w14:paraId="1ED33150" w14:textId="77777777" w:rsidTr="00D86668">
        <w:tc>
          <w:tcPr>
            <w:tcW w:w="1129" w:type="dxa"/>
            <w:vMerge/>
            <w:vAlign w:val="center"/>
            <w:hideMark/>
          </w:tcPr>
          <w:p w14:paraId="2AC19AA8" w14:textId="77777777" w:rsidR="00D86668" w:rsidRPr="005A2ED3" w:rsidRDefault="00D86668" w:rsidP="00C11675">
            <w:pPr>
              <w:rPr>
                <w:rFonts w:ascii="Arial Narrow" w:hAnsi="Arial Narrow" w:cs="Calibri"/>
                <w:b/>
                <w:bCs/>
                <w:sz w:val="20"/>
                <w:szCs w:val="20"/>
              </w:rPr>
            </w:pPr>
          </w:p>
        </w:tc>
        <w:tc>
          <w:tcPr>
            <w:tcW w:w="1701" w:type="dxa"/>
            <w:vMerge/>
            <w:vAlign w:val="center"/>
            <w:hideMark/>
          </w:tcPr>
          <w:p w14:paraId="6056F08D" w14:textId="77777777" w:rsidR="00D86668" w:rsidRPr="005A2ED3" w:rsidRDefault="00D86668" w:rsidP="00C11675">
            <w:pPr>
              <w:rPr>
                <w:rFonts w:ascii="Arial Narrow" w:hAnsi="Arial Narrow" w:cs="Calibri"/>
                <w:sz w:val="20"/>
                <w:szCs w:val="20"/>
              </w:rPr>
            </w:pPr>
          </w:p>
        </w:tc>
        <w:tc>
          <w:tcPr>
            <w:tcW w:w="851" w:type="dxa"/>
            <w:shd w:val="clear" w:color="auto" w:fill="auto"/>
            <w:vAlign w:val="center"/>
            <w:hideMark/>
          </w:tcPr>
          <w:p w14:paraId="0257430B"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auto"/>
          </w:tcPr>
          <w:p w14:paraId="68B3AD19"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547 172</w:t>
            </w:r>
          </w:p>
        </w:tc>
        <w:tc>
          <w:tcPr>
            <w:tcW w:w="1134" w:type="dxa"/>
            <w:shd w:val="clear" w:color="auto" w:fill="auto"/>
            <w:vAlign w:val="center"/>
          </w:tcPr>
          <w:p w14:paraId="50048973"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-464 587</w:t>
            </w:r>
          </w:p>
        </w:tc>
        <w:tc>
          <w:tcPr>
            <w:tcW w:w="1275" w:type="dxa"/>
            <w:shd w:val="clear" w:color="auto" w:fill="auto"/>
            <w:vAlign w:val="center"/>
          </w:tcPr>
          <w:p w14:paraId="5919EACD"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82 585</w:t>
            </w:r>
          </w:p>
        </w:tc>
        <w:tc>
          <w:tcPr>
            <w:tcW w:w="2694" w:type="dxa"/>
          </w:tcPr>
          <w:p w14:paraId="52519523" w14:textId="77777777" w:rsidR="00D86668" w:rsidRPr="00690351" w:rsidRDefault="00D86668" w:rsidP="00C11675">
            <w:pPr>
              <w:rPr>
                <w:rFonts w:ascii="Arial Narrow" w:hAnsi="Arial Narrow" w:cs="Calibri"/>
                <w:sz w:val="20"/>
                <w:szCs w:val="20"/>
              </w:rPr>
            </w:pPr>
            <w:r w:rsidRPr="00414501">
              <w:rPr>
                <w:rFonts w:ascii="Arial Narrow" w:hAnsi="Arial Narrow" w:cs="Calibri"/>
                <w:sz w:val="20"/>
                <w:szCs w:val="20"/>
              </w:rPr>
              <w:t>Presun 464 587 EUR</w:t>
            </w:r>
            <w:r>
              <w:rPr>
                <w:rFonts w:ascii="Arial Narrow" w:hAnsi="Arial Narrow" w:cs="Calibri"/>
                <w:sz w:val="20"/>
                <w:szCs w:val="20"/>
              </w:rPr>
              <w:t xml:space="preserve"> do ŠC 41.</w:t>
            </w:r>
          </w:p>
        </w:tc>
      </w:tr>
      <w:tr w:rsidR="00D86668" w:rsidRPr="005A2ED3" w14:paraId="45E5091E" w14:textId="77777777" w:rsidTr="00D86668">
        <w:tc>
          <w:tcPr>
            <w:tcW w:w="1129" w:type="dxa"/>
            <w:vMerge/>
            <w:vAlign w:val="center"/>
            <w:hideMark/>
          </w:tcPr>
          <w:p w14:paraId="27179C7C" w14:textId="77777777" w:rsidR="00D86668" w:rsidRPr="005A2ED3" w:rsidRDefault="00D86668" w:rsidP="00C11675">
            <w:pPr>
              <w:rPr>
                <w:rFonts w:ascii="Arial Narrow" w:hAnsi="Arial Narrow" w:cs="Calibri"/>
                <w:b/>
                <w:bCs/>
                <w:sz w:val="20"/>
                <w:szCs w:val="20"/>
              </w:rPr>
            </w:pPr>
          </w:p>
        </w:tc>
        <w:tc>
          <w:tcPr>
            <w:tcW w:w="1701" w:type="dxa"/>
            <w:vMerge w:val="restart"/>
            <w:shd w:val="clear" w:color="auto" w:fill="auto"/>
            <w:vAlign w:val="center"/>
            <w:hideMark/>
          </w:tcPr>
          <w:p w14:paraId="4FDB1364" w14:textId="77777777" w:rsidR="00D86668" w:rsidRPr="005A2ED3" w:rsidRDefault="00D86668" w:rsidP="00C11675">
            <w:pPr>
              <w:rPr>
                <w:rFonts w:ascii="Arial Narrow" w:hAnsi="Arial Narrow" w:cs="Calibri"/>
                <w:sz w:val="20"/>
                <w:szCs w:val="20"/>
              </w:rPr>
            </w:pPr>
            <w:r w:rsidRPr="005A2ED3">
              <w:rPr>
                <w:rFonts w:ascii="Arial Narrow" w:hAnsi="Arial Narrow" w:cs="Calibri"/>
                <w:sz w:val="20"/>
                <w:szCs w:val="20"/>
              </w:rPr>
              <w:t xml:space="preserve">5.1.2 Zlepšenie udržateľných vzťahov </w:t>
            </w:r>
          </w:p>
        </w:tc>
        <w:tc>
          <w:tcPr>
            <w:tcW w:w="851" w:type="dxa"/>
            <w:shd w:val="clear" w:color="auto" w:fill="auto"/>
            <w:vAlign w:val="center"/>
            <w:hideMark/>
          </w:tcPr>
          <w:p w14:paraId="2283D512"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MRR</w:t>
            </w:r>
          </w:p>
        </w:tc>
        <w:tc>
          <w:tcPr>
            <w:tcW w:w="1276" w:type="dxa"/>
            <w:shd w:val="clear" w:color="auto" w:fill="auto"/>
          </w:tcPr>
          <w:p w14:paraId="3691E30A"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29 392 308</w:t>
            </w:r>
          </w:p>
        </w:tc>
        <w:tc>
          <w:tcPr>
            <w:tcW w:w="1134" w:type="dxa"/>
            <w:shd w:val="clear" w:color="auto" w:fill="auto"/>
            <w:vAlign w:val="center"/>
          </w:tcPr>
          <w:p w14:paraId="15BFC5C3"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auto"/>
            <w:vAlign w:val="center"/>
          </w:tcPr>
          <w:p w14:paraId="7912761F"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29 392 308</w:t>
            </w:r>
          </w:p>
        </w:tc>
        <w:tc>
          <w:tcPr>
            <w:tcW w:w="2694" w:type="dxa"/>
          </w:tcPr>
          <w:p w14:paraId="544A6A83" w14:textId="77777777" w:rsidR="00D86668" w:rsidRPr="00690351" w:rsidRDefault="00D86668" w:rsidP="00C11675">
            <w:pPr>
              <w:jc w:val="right"/>
              <w:rPr>
                <w:rFonts w:ascii="Arial Narrow" w:hAnsi="Arial Narrow" w:cs="Calibri"/>
                <w:sz w:val="20"/>
                <w:szCs w:val="20"/>
              </w:rPr>
            </w:pPr>
          </w:p>
        </w:tc>
      </w:tr>
      <w:tr w:rsidR="00D86668" w:rsidRPr="005A2ED3" w14:paraId="272901B7" w14:textId="77777777" w:rsidTr="00D86668">
        <w:tc>
          <w:tcPr>
            <w:tcW w:w="1129" w:type="dxa"/>
            <w:vMerge/>
            <w:vAlign w:val="center"/>
            <w:hideMark/>
          </w:tcPr>
          <w:p w14:paraId="7E9BA274" w14:textId="77777777" w:rsidR="00D86668" w:rsidRPr="005A2ED3" w:rsidRDefault="00D86668" w:rsidP="00C11675">
            <w:pPr>
              <w:rPr>
                <w:rFonts w:ascii="Arial Narrow" w:hAnsi="Arial Narrow" w:cs="Calibri"/>
                <w:b/>
                <w:bCs/>
                <w:sz w:val="20"/>
                <w:szCs w:val="20"/>
              </w:rPr>
            </w:pPr>
          </w:p>
        </w:tc>
        <w:tc>
          <w:tcPr>
            <w:tcW w:w="1701" w:type="dxa"/>
            <w:vMerge/>
            <w:vAlign w:val="center"/>
            <w:hideMark/>
          </w:tcPr>
          <w:p w14:paraId="33B44530" w14:textId="77777777" w:rsidR="00D86668" w:rsidRPr="005A2ED3" w:rsidRDefault="00D86668" w:rsidP="00C11675">
            <w:pPr>
              <w:rPr>
                <w:rFonts w:ascii="Arial Narrow" w:hAnsi="Arial Narrow" w:cs="Calibri"/>
                <w:sz w:val="20"/>
                <w:szCs w:val="20"/>
              </w:rPr>
            </w:pPr>
          </w:p>
        </w:tc>
        <w:tc>
          <w:tcPr>
            <w:tcW w:w="851" w:type="dxa"/>
            <w:shd w:val="clear" w:color="auto" w:fill="auto"/>
            <w:vAlign w:val="center"/>
            <w:hideMark/>
          </w:tcPr>
          <w:p w14:paraId="25CEFE75"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VRR</w:t>
            </w:r>
          </w:p>
        </w:tc>
        <w:tc>
          <w:tcPr>
            <w:tcW w:w="1276" w:type="dxa"/>
            <w:shd w:val="clear" w:color="auto" w:fill="auto"/>
          </w:tcPr>
          <w:p w14:paraId="110494F1"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390 730</w:t>
            </w:r>
          </w:p>
        </w:tc>
        <w:tc>
          <w:tcPr>
            <w:tcW w:w="1134" w:type="dxa"/>
            <w:shd w:val="clear" w:color="auto" w:fill="auto"/>
            <w:vAlign w:val="center"/>
          </w:tcPr>
          <w:p w14:paraId="77D28B22"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0</w:t>
            </w:r>
          </w:p>
        </w:tc>
        <w:tc>
          <w:tcPr>
            <w:tcW w:w="1275" w:type="dxa"/>
            <w:shd w:val="clear" w:color="auto" w:fill="auto"/>
            <w:vAlign w:val="center"/>
          </w:tcPr>
          <w:p w14:paraId="63309049"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390 730</w:t>
            </w:r>
          </w:p>
        </w:tc>
        <w:tc>
          <w:tcPr>
            <w:tcW w:w="2694" w:type="dxa"/>
          </w:tcPr>
          <w:p w14:paraId="591C20F3" w14:textId="77777777" w:rsidR="00D86668" w:rsidRPr="00690351" w:rsidRDefault="00D86668" w:rsidP="00C11675">
            <w:pPr>
              <w:jc w:val="right"/>
              <w:rPr>
                <w:rFonts w:ascii="Arial Narrow" w:hAnsi="Arial Narrow" w:cs="Calibri"/>
                <w:sz w:val="20"/>
                <w:szCs w:val="20"/>
              </w:rPr>
            </w:pPr>
          </w:p>
        </w:tc>
      </w:tr>
      <w:tr w:rsidR="00D86668" w:rsidRPr="005A2ED3" w14:paraId="17001D70" w14:textId="77777777" w:rsidTr="00D86668">
        <w:tc>
          <w:tcPr>
            <w:tcW w:w="1129" w:type="dxa"/>
            <w:vMerge/>
            <w:vAlign w:val="center"/>
            <w:hideMark/>
          </w:tcPr>
          <w:p w14:paraId="6B33917C" w14:textId="77777777" w:rsidR="00D86668" w:rsidRPr="005A2ED3" w:rsidRDefault="00D86668" w:rsidP="00C11675">
            <w:pPr>
              <w:rPr>
                <w:rFonts w:ascii="Arial Narrow" w:hAnsi="Arial Narrow" w:cs="Calibri"/>
                <w:b/>
                <w:bCs/>
                <w:sz w:val="20"/>
                <w:szCs w:val="20"/>
              </w:rPr>
            </w:pPr>
          </w:p>
        </w:tc>
        <w:tc>
          <w:tcPr>
            <w:tcW w:w="1701" w:type="dxa"/>
            <w:shd w:val="clear" w:color="auto" w:fill="DBE5F1" w:themeFill="accent1" w:themeFillTint="33"/>
            <w:vAlign w:val="center"/>
            <w:hideMark/>
          </w:tcPr>
          <w:p w14:paraId="3461313E"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auto" w:fill="DBE5F1" w:themeFill="accent1" w:themeFillTint="33"/>
            <w:vAlign w:val="center"/>
            <w:hideMark/>
          </w:tcPr>
          <w:p w14:paraId="0FAAE048"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auto" w:fill="DBE5F1" w:themeFill="accent1" w:themeFillTint="33"/>
          </w:tcPr>
          <w:p w14:paraId="296AEBF2"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88 176 922</w:t>
            </w:r>
          </w:p>
        </w:tc>
        <w:tc>
          <w:tcPr>
            <w:tcW w:w="1134" w:type="dxa"/>
            <w:shd w:val="clear" w:color="auto" w:fill="DBE5F1" w:themeFill="accent1" w:themeFillTint="33"/>
            <w:vAlign w:val="center"/>
          </w:tcPr>
          <w:p w14:paraId="05EA68D3"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-5 296 952</w:t>
            </w:r>
          </w:p>
        </w:tc>
        <w:tc>
          <w:tcPr>
            <w:tcW w:w="1275" w:type="dxa"/>
            <w:shd w:val="clear" w:color="auto" w:fill="DBE5F1" w:themeFill="accent1" w:themeFillTint="33"/>
            <w:vAlign w:val="center"/>
          </w:tcPr>
          <w:p w14:paraId="0CC42C30"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82 879 970</w:t>
            </w:r>
          </w:p>
        </w:tc>
        <w:tc>
          <w:tcPr>
            <w:tcW w:w="2694" w:type="dxa"/>
            <w:shd w:val="clear" w:color="auto" w:fill="DBE5F1" w:themeFill="accent1" w:themeFillTint="33"/>
          </w:tcPr>
          <w:p w14:paraId="5CDFF67E" w14:textId="77777777" w:rsidR="00D86668" w:rsidRPr="00690351" w:rsidRDefault="00D86668" w:rsidP="00C11675">
            <w:pPr>
              <w:jc w:val="right"/>
              <w:rPr>
                <w:rFonts w:ascii="Arial Narrow" w:hAnsi="Arial Narrow" w:cs="Calibri"/>
                <w:sz w:val="20"/>
                <w:szCs w:val="20"/>
              </w:rPr>
            </w:pPr>
          </w:p>
        </w:tc>
      </w:tr>
      <w:tr w:rsidR="00D86668" w:rsidRPr="005A2ED3" w14:paraId="34B00A18" w14:textId="77777777" w:rsidTr="00D86668">
        <w:tc>
          <w:tcPr>
            <w:tcW w:w="1129" w:type="dxa"/>
            <w:vMerge/>
            <w:vAlign w:val="center"/>
            <w:hideMark/>
          </w:tcPr>
          <w:p w14:paraId="7A76071C" w14:textId="77777777" w:rsidR="00D86668" w:rsidRPr="005A2ED3" w:rsidRDefault="00D86668" w:rsidP="00C11675">
            <w:pPr>
              <w:rPr>
                <w:rFonts w:ascii="Arial Narrow" w:hAnsi="Arial Narrow" w:cs="Calibri"/>
                <w:b/>
                <w:bCs/>
                <w:sz w:val="20"/>
                <w:szCs w:val="20"/>
              </w:rPr>
            </w:pPr>
          </w:p>
        </w:tc>
        <w:tc>
          <w:tcPr>
            <w:tcW w:w="1701" w:type="dxa"/>
            <w:shd w:val="clear" w:color="auto" w:fill="DBE5F1" w:themeFill="accent1" w:themeFillTint="33"/>
            <w:vAlign w:val="center"/>
            <w:hideMark/>
          </w:tcPr>
          <w:p w14:paraId="1CFBAA9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auto" w:fill="DBE5F1" w:themeFill="accent1" w:themeFillTint="33"/>
            <w:vAlign w:val="center"/>
            <w:hideMark/>
          </w:tcPr>
          <w:p w14:paraId="7DCB5E01"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auto" w:fill="DBE5F1" w:themeFill="accent1" w:themeFillTint="33"/>
          </w:tcPr>
          <w:p w14:paraId="7DE24AB0"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937 902</w:t>
            </w:r>
          </w:p>
        </w:tc>
        <w:tc>
          <w:tcPr>
            <w:tcW w:w="1134" w:type="dxa"/>
            <w:shd w:val="clear" w:color="auto" w:fill="DBE5F1" w:themeFill="accent1" w:themeFillTint="33"/>
            <w:vAlign w:val="center"/>
          </w:tcPr>
          <w:p w14:paraId="6D584BBA"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-464 587</w:t>
            </w:r>
          </w:p>
        </w:tc>
        <w:tc>
          <w:tcPr>
            <w:tcW w:w="1275" w:type="dxa"/>
            <w:shd w:val="clear" w:color="auto" w:fill="DBE5F1" w:themeFill="accent1" w:themeFillTint="33"/>
            <w:vAlign w:val="center"/>
          </w:tcPr>
          <w:p w14:paraId="6F5E2045" w14:textId="77777777" w:rsidR="00D86668" w:rsidRPr="005A2ED3" w:rsidRDefault="00D86668" w:rsidP="00C11675">
            <w:pPr>
              <w:jc w:val="right"/>
              <w:rPr>
                <w:rFonts w:ascii="Arial Narrow" w:hAnsi="Arial Narrow" w:cs="Calibri"/>
                <w:sz w:val="20"/>
                <w:szCs w:val="20"/>
              </w:rPr>
            </w:pPr>
            <w:r w:rsidRPr="00690351">
              <w:rPr>
                <w:rFonts w:ascii="Arial Narrow" w:hAnsi="Arial Narrow" w:cs="Calibri"/>
                <w:sz w:val="20"/>
                <w:szCs w:val="20"/>
              </w:rPr>
              <w:t>473 315</w:t>
            </w:r>
          </w:p>
        </w:tc>
        <w:tc>
          <w:tcPr>
            <w:tcW w:w="2694" w:type="dxa"/>
            <w:shd w:val="clear" w:color="auto" w:fill="DBE5F1" w:themeFill="accent1" w:themeFillTint="33"/>
          </w:tcPr>
          <w:p w14:paraId="0908E118" w14:textId="77777777" w:rsidR="00D86668" w:rsidRPr="00690351" w:rsidRDefault="00D86668" w:rsidP="00C11675">
            <w:pPr>
              <w:jc w:val="right"/>
              <w:rPr>
                <w:rFonts w:ascii="Arial Narrow" w:hAnsi="Arial Narrow" w:cs="Calibri"/>
                <w:sz w:val="20"/>
                <w:szCs w:val="20"/>
              </w:rPr>
            </w:pPr>
          </w:p>
        </w:tc>
      </w:tr>
      <w:tr w:rsidR="00D86668" w:rsidRPr="005A2ED3" w14:paraId="008BD2A7" w14:textId="77777777" w:rsidTr="00D86668">
        <w:tc>
          <w:tcPr>
            <w:tcW w:w="1129" w:type="dxa"/>
            <w:vMerge/>
            <w:vAlign w:val="center"/>
            <w:hideMark/>
          </w:tcPr>
          <w:p w14:paraId="60801348" w14:textId="77777777" w:rsidR="00D86668" w:rsidRPr="005A2ED3" w:rsidRDefault="00D86668" w:rsidP="00C11675">
            <w:pPr>
              <w:rPr>
                <w:rFonts w:ascii="Arial Narrow" w:hAnsi="Arial Narrow" w:cs="Calibri"/>
                <w:b/>
                <w:bCs/>
                <w:sz w:val="20"/>
                <w:szCs w:val="20"/>
              </w:rPr>
            </w:pPr>
          </w:p>
        </w:tc>
        <w:tc>
          <w:tcPr>
            <w:tcW w:w="1701" w:type="dxa"/>
            <w:shd w:val="clear" w:color="auto" w:fill="95B3D7" w:themeFill="accent1" w:themeFillTint="99"/>
            <w:vAlign w:val="center"/>
            <w:hideMark/>
          </w:tcPr>
          <w:p w14:paraId="2C70A5D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shd w:val="clear" w:color="auto" w:fill="95B3D7" w:themeFill="accent1" w:themeFillTint="99"/>
            <w:vAlign w:val="center"/>
            <w:hideMark/>
          </w:tcPr>
          <w:p w14:paraId="78963C02"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vAlign w:val="center"/>
          </w:tcPr>
          <w:p w14:paraId="368906F2" w14:textId="77777777" w:rsidR="00D86668" w:rsidRPr="005A2ED3" w:rsidRDefault="00D86668" w:rsidP="00C11675">
            <w:pPr>
              <w:jc w:val="right"/>
              <w:rPr>
                <w:rFonts w:ascii="Arial Narrow" w:hAnsi="Arial Narrow" w:cs="Calibri"/>
                <w:sz w:val="20"/>
                <w:szCs w:val="20"/>
              </w:rPr>
            </w:pPr>
            <w:r w:rsidRPr="00917A32">
              <w:rPr>
                <w:rFonts w:ascii="Arial Narrow" w:hAnsi="Arial Narrow" w:cs="Calibri"/>
                <w:sz w:val="20"/>
                <w:szCs w:val="20"/>
              </w:rPr>
              <w:t>89 114 824</w:t>
            </w:r>
          </w:p>
        </w:tc>
        <w:tc>
          <w:tcPr>
            <w:tcW w:w="1134" w:type="dxa"/>
            <w:shd w:val="clear" w:color="auto" w:fill="95B3D7" w:themeFill="accent1" w:themeFillTint="99"/>
          </w:tcPr>
          <w:p w14:paraId="41DC533F" w14:textId="77777777" w:rsidR="00D86668" w:rsidRPr="005A2ED3" w:rsidRDefault="00D86668" w:rsidP="00C11675">
            <w:pPr>
              <w:jc w:val="right"/>
              <w:rPr>
                <w:rFonts w:ascii="Arial Narrow" w:hAnsi="Arial Narrow" w:cs="Calibri"/>
                <w:sz w:val="20"/>
                <w:szCs w:val="20"/>
              </w:rPr>
            </w:pPr>
            <w:r w:rsidRPr="00595DFC">
              <w:rPr>
                <w:rFonts w:ascii="Arial Narrow" w:hAnsi="Arial Narrow" w:cs="Calibri"/>
                <w:sz w:val="20"/>
                <w:szCs w:val="20"/>
              </w:rPr>
              <w:t>-5 761 539</w:t>
            </w:r>
          </w:p>
        </w:tc>
        <w:tc>
          <w:tcPr>
            <w:tcW w:w="1275" w:type="dxa"/>
            <w:shd w:val="clear" w:color="auto" w:fill="95B3D7" w:themeFill="accent1" w:themeFillTint="99"/>
          </w:tcPr>
          <w:p w14:paraId="3C726FDA" w14:textId="77777777" w:rsidR="00D86668" w:rsidRPr="005A2ED3" w:rsidRDefault="00D86668" w:rsidP="00C11675">
            <w:pPr>
              <w:jc w:val="right"/>
              <w:rPr>
                <w:rFonts w:ascii="Arial Narrow" w:hAnsi="Arial Narrow" w:cs="Calibri"/>
                <w:sz w:val="20"/>
                <w:szCs w:val="20"/>
              </w:rPr>
            </w:pPr>
            <w:r w:rsidRPr="00595DFC">
              <w:rPr>
                <w:rFonts w:ascii="Arial Narrow" w:hAnsi="Arial Narrow" w:cs="Calibri"/>
                <w:sz w:val="20"/>
                <w:szCs w:val="20"/>
              </w:rPr>
              <w:t>83 353 285</w:t>
            </w:r>
          </w:p>
        </w:tc>
        <w:tc>
          <w:tcPr>
            <w:tcW w:w="2694" w:type="dxa"/>
            <w:shd w:val="clear" w:color="auto" w:fill="95B3D7" w:themeFill="accent1" w:themeFillTint="99"/>
          </w:tcPr>
          <w:p w14:paraId="0D39E17B" w14:textId="77777777" w:rsidR="00D86668" w:rsidRPr="00595DFC" w:rsidRDefault="00D86668" w:rsidP="00C11675">
            <w:pPr>
              <w:jc w:val="right"/>
              <w:rPr>
                <w:rFonts w:ascii="Arial Narrow" w:hAnsi="Arial Narrow" w:cs="Calibri"/>
                <w:sz w:val="20"/>
                <w:szCs w:val="20"/>
              </w:rPr>
            </w:pPr>
          </w:p>
        </w:tc>
      </w:tr>
      <w:tr w:rsidR="00D86668" w:rsidRPr="005A2ED3" w14:paraId="5E9556CB" w14:textId="77777777" w:rsidTr="00D86668">
        <w:tc>
          <w:tcPr>
            <w:tcW w:w="1129" w:type="dxa"/>
            <w:vMerge w:val="restart"/>
            <w:shd w:val="clear" w:color="auto" w:fill="FFFFFF" w:themeFill="background1"/>
            <w:vAlign w:val="center"/>
            <w:hideMark/>
          </w:tcPr>
          <w:p w14:paraId="0F1CEF2B" w14:textId="77777777" w:rsidR="00D86668" w:rsidRPr="005A2ED3" w:rsidRDefault="00D86668" w:rsidP="00C11675">
            <w:pPr>
              <w:jc w:val="center"/>
              <w:rPr>
                <w:rFonts w:ascii="Arial Narrow" w:hAnsi="Arial Narrow" w:cs="Calibri"/>
                <w:b/>
                <w:bCs/>
                <w:color w:val="000000"/>
                <w:sz w:val="20"/>
                <w:szCs w:val="20"/>
              </w:rPr>
            </w:pPr>
            <w:r w:rsidRPr="005A2ED3">
              <w:rPr>
                <w:rFonts w:ascii="Arial Narrow" w:hAnsi="Arial Narrow" w:cs="Calibri"/>
                <w:b/>
                <w:bCs/>
                <w:color w:val="000000"/>
                <w:sz w:val="20"/>
                <w:szCs w:val="20"/>
              </w:rPr>
              <w:t xml:space="preserve">6. Technická pomoc </w:t>
            </w:r>
          </w:p>
        </w:tc>
        <w:tc>
          <w:tcPr>
            <w:tcW w:w="1701" w:type="dxa"/>
            <w:vMerge w:val="restart"/>
            <w:shd w:val="clear" w:color="auto" w:fill="FFFFFF" w:themeFill="background1"/>
            <w:vAlign w:val="center"/>
            <w:hideMark/>
          </w:tcPr>
          <w:p w14:paraId="640FF553" w14:textId="77777777" w:rsidR="00D86668" w:rsidRPr="005A2ED3" w:rsidRDefault="00D86668" w:rsidP="00C11675">
            <w:pPr>
              <w:rPr>
                <w:rFonts w:ascii="Arial Narrow" w:hAnsi="Arial Narrow" w:cs="Calibri"/>
                <w:sz w:val="20"/>
                <w:szCs w:val="20"/>
              </w:rPr>
            </w:pPr>
            <w:r w:rsidRPr="005A2ED3">
              <w:rPr>
                <w:rFonts w:ascii="Arial Narrow" w:hAnsi="Arial Narrow" w:cs="Calibri"/>
                <w:sz w:val="20"/>
                <w:szCs w:val="20"/>
              </w:rPr>
              <w:t xml:space="preserve">6.1. Podpora efektívnej implementácie </w:t>
            </w:r>
          </w:p>
        </w:tc>
        <w:tc>
          <w:tcPr>
            <w:tcW w:w="851" w:type="dxa"/>
            <w:shd w:val="clear" w:color="auto" w:fill="FFFFFF" w:themeFill="background1"/>
            <w:vAlign w:val="center"/>
            <w:hideMark/>
          </w:tcPr>
          <w:p w14:paraId="5343590A"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MRR</w:t>
            </w:r>
          </w:p>
        </w:tc>
        <w:tc>
          <w:tcPr>
            <w:tcW w:w="1276" w:type="dxa"/>
            <w:shd w:val="clear" w:color="auto" w:fill="FFFFFF" w:themeFill="background1"/>
          </w:tcPr>
          <w:p w14:paraId="59BBBBBC"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54 019 725</w:t>
            </w:r>
          </w:p>
        </w:tc>
        <w:tc>
          <w:tcPr>
            <w:tcW w:w="1134" w:type="dxa"/>
            <w:shd w:val="clear" w:color="auto" w:fill="FFFFFF" w:themeFill="background1"/>
          </w:tcPr>
          <w:p w14:paraId="121DF2BE"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0</w:t>
            </w:r>
          </w:p>
        </w:tc>
        <w:tc>
          <w:tcPr>
            <w:tcW w:w="1275" w:type="dxa"/>
            <w:shd w:val="clear" w:color="auto" w:fill="FFFFFF" w:themeFill="background1"/>
          </w:tcPr>
          <w:p w14:paraId="21F61587"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54 019 725</w:t>
            </w:r>
          </w:p>
        </w:tc>
        <w:tc>
          <w:tcPr>
            <w:tcW w:w="2694" w:type="dxa"/>
            <w:shd w:val="clear" w:color="auto" w:fill="FFFFFF" w:themeFill="background1"/>
          </w:tcPr>
          <w:p w14:paraId="78A49FDA" w14:textId="77777777" w:rsidR="00D86668" w:rsidRPr="00C55EC4" w:rsidRDefault="00D86668" w:rsidP="00C11675">
            <w:pPr>
              <w:jc w:val="right"/>
              <w:rPr>
                <w:rFonts w:ascii="Arial Narrow" w:hAnsi="Arial Narrow" w:cs="Calibri"/>
                <w:sz w:val="20"/>
                <w:szCs w:val="20"/>
              </w:rPr>
            </w:pPr>
          </w:p>
        </w:tc>
      </w:tr>
      <w:tr w:rsidR="00D86668" w:rsidRPr="005A2ED3" w14:paraId="40528042" w14:textId="77777777" w:rsidTr="00D86668">
        <w:tc>
          <w:tcPr>
            <w:tcW w:w="1129" w:type="dxa"/>
            <w:vMerge/>
            <w:shd w:val="clear" w:color="auto" w:fill="FFFFFF" w:themeFill="background1"/>
            <w:vAlign w:val="center"/>
            <w:hideMark/>
          </w:tcPr>
          <w:p w14:paraId="222F9977"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171F3D67" w14:textId="77777777" w:rsidR="00D86668" w:rsidRPr="005A2ED3" w:rsidRDefault="00D86668" w:rsidP="00C11675">
            <w:pPr>
              <w:rPr>
                <w:rFonts w:ascii="Arial Narrow" w:hAnsi="Arial Narrow" w:cs="Calibri"/>
                <w:sz w:val="20"/>
                <w:szCs w:val="20"/>
              </w:rPr>
            </w:pPr>
          </w:p>
        </w:tc>
        <w:tc>
          <w:tcPr>
            <w:tcW w:w="851" w:type="dxa"/>
            <w:shd w:val="clear" w:color="auto" w:fill="FFFFFF" w:themeFill="background1"/>
            <w:vAlign w:val="center"/>
            <w:hideMark/>
          </w:tcPr>
          <w:p w14:paraId="248363B9"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VRR</w:t>
            </w:r>
          </w:p>
        </w:tc>
        <w:tc>
          <w:tcPr>
            <w:tcW w:w="1276" w:type="dxa"/>
            <w:shd w:val="clear" w:color="auto" w:fill="FFFFFF" w:themeFill="background1"/>
          </w:tcPr>
          <w:p w14:paraId="5F9578BC"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1 930 275</w:t>
            </w:r>
          </w:p>
        </w:tc>
        <w:tc>
          <w:tcPr>
            <w:tcW w:w="1134" w:type="dxa"/>
            <w:shd w:val="clear" w:color="auto" w:fill="FFFFFF" w:themeFill="background1"/>
          </w:tcPr>
          <w:p w14:paraId="0445BDE9"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0</w:t>
            </w:r>
          </w:p>
        </w:tc>
        <w:tc>
          <w:tcPr>
            <w:tcW w:w="1275" w:type="dxa"/>
            <w:shd w:val="clear" w:color="auto" w:fill="FFFFFF" w:themeFill="background1"/>
          </w:tcPr>
          <w:p w14:paraId="02933F8E"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1 930 275</w:t>
            </w:r>
          </w:p>
        </w:tc>
        <w:tc>
          <w:tcPr>
            <w:tcW w:w="2694" w:type="dxa"/>
            <w:shd w:val="clear" w:color="auto" w:fill="FFFFFF" w:themeFill="background1"/>
          </w:tcPr>
          <w:p w14:paraId="65F9EEFE" w14:textId="77777777" w:rsidR="00D86668" w:rsidRPr="00C55EC4" w:rsidRDefault="00D86668" w:rsidP="00C11675">
            <w:pPr>
              <w:jc w:val="right"/>
              <w:rPr>
                <w:rFonts w:ascii="Arial Narrow" w:hAnsi="Arial Narrow" w:cs="Calibri"/>
                <w:sz w:val="20"/>
                <w:szCs w:val="20"/>
              </w:rPr>
            </w:pPr>
          </w:p>
        </w:tc>
      </w:tr>
      <w:tr w:rsidR="00D86668" w:rsidRPr="005A2ED3" w14:paraId="27802554" w14:textId="77777777" w:rsidTr="00D86668">
        <w:tc>
          <w:tcPr>
            <w:tcW w:w="1129" w:type="dxa"/>
            <w:vMerge/>
            <w:shd w:val="clear" w:color="auto" w:fill="FFFFFF" w:themeFill="background1"/>
            <w:vAlign w:val="center"/>
            <w:hideMark/>
          </w:tcPr>
          <w:p w14:paraId="380F49BB" w14:textId="77777777" w:rsidR="00D86668" w:rsidRPr="005A2ED3" w:rsidRDefault="00D86668" w:rsidP="00C11675">
            <w:pPr>
              <w:rPr>
                <w:rFonts w:ascii="Arial Narrow" w:hAnsi="Arial Narrow" w:cs="Calibri"/>
                <w:b/>
                <w:bCs/>
                <w:color w:val="000000"/>
                <w:sz w:val="20"/>
                <w:szCs w:val="20"/>
              </w:rPr>
            </w:pPr>
          </w:p>
        </w:tc>
        <w:tc>
          <w:tcPr>
            <w:tcW w:w="1701" w:type="dxa"/>
            <w:vMerge w:val="restart"/>
            <w:shd w:val="clear" w:color="auto" w:fill="FFFFFF" w:themeFill="background1"/>
            <w:vAlign w:val="center"/>
            <w:hideMark/>
          </w:tcPr>
          <w:p w14:paraId="3D8C5809" w14:textId="77777777" w:rsidR="00D86668" w:rsidRPr="005A2ED3" w:rsidRDefault="00D86668" w:rsidP="00C11675">
            <w:pPr>
              <w:rPr>
                <w:rFonts w:ascii="Arial Narrow" w:hAnsi="Arial Narrow" w:cs="Calibri"/>
                <w:sz w:val="20"/>
                <w:szCs w:val="20"/>
              </w:rPr>
            </w:pPr>
            <w:r w:rsidRPr="005A2ED3">
              <w:rPr>
                <w:rFonts w:ascii="Arial Narrow" w:hAnsi="Arial Narrow" w:cs="Calibri"/>
                <w:sz w:val="20"/>
                <w:szCs w:val="20"/>
              </w:rPr>
              <w:t xml:space="preserve">6.2. Publicita, informovanie a podpora prijímateľov </w:t>
            </w:r>
          </w:p>
        </w:tc>
        <w:tc>
          <w:tcPr>
            <w:tcW w:w="851" w:type="dxa"/>
            <w:shd w:val="clear" w:color="auto" w:fill="FFFFFF" w:themeFill="background1"/>
            <w:vAlign w:val="center"/>
            <w:hideMark/>
          </w:tcPr>
          <w:p w14:paraId="4C1A2796"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MRR</w:t>
            </w:r>
          </w:p>
        </w:tc>
        <w:tc>
          <w:tcPr>
            <w:tcW w:w="1276" w:type="dxa"/>
            <w:shd w:val="clear" w:color="auto" w:fill="FFFFFF" w:themeFill="background1"/>
          </w:tcPr>
          <w:p w14:paraId="226D88ED"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5 841 275</w:t>
            </w:r>
          </w:p>
        </w:tc>
        <w:tc>
          <w:tcPr>
            <w:tcW w:w="1134" w:type="dxa"/>
            <w:shd w:val="clear" w:color="auto" w:fill="FFFFFF" w:themeFill="background1"/>
          </w:tcPr>
          <w:p w14:paraId="5F2AA0FF"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0</w:t>
            </w:r>
          </w:p>
        </w:tc>
        <w:tc>
          <w:tcPr>
            <w:tcW w:w="1275" w:type="dxa"/>
            <w:shd w:val="clear" w:color="auto" w:fill="FFFFFF" w:themeFill="background1"/>
          </w:tcPr>
          <w:p w14:paraId="016F399F"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5 841 275</w:t>
            </w:r>
          </w:p>
        </w:tc>
        <w:tc>
          <w:tcPr>
            <w:tcW w:w="2694" w:type="dxa"/>
            <w:shd w:val="clear" w:color="auto" w:fill="FFFFFF" w:themeFill="background1"/>
          </w:tcPr>
          <w:p w14:paraId="23023A37" w14:textId="77777777" w:rsidR="00D86668" w:rsidRPr="00C55EC4" w:rsidRDefault="00D86668" w:rsidP="00C11675">
            <w:pPr>
              <w:jc w:val="right"/>
              <w:rPr>
                <w:rFonts w:ascii="Arial Narrow" w:hAnsi="Arial Narrow" w:cs="Calibri"/>
                <w:sz w:val="20"/>
                <w:szCs w:val="20"/>
              </w:rPr>
            </w:pPr>
          </w:p>
        </w:tc>
      </w:tr>
      <w:tr w:rsidR="00D86668" w:rsidRPr="005A2ED3" w14:paraId="3CDA84C7" w14:textId="77777777" w:rsidTr="00D86668">
        <w:tc>
          <w:tcPr>
            <w:tcW w:w="1129" w:type="dxa"/>
            <w:vMerge/>
            <w:shd w:val="clear" w:color="auto" w:fill="FFFFFF" w:themeFill="background1"/>
            <w:vAlign w:val="center"/>
            <w:hideMark/>
          </w:tcPr>
          <w:p w14:paraId="7A24C238" w14:textId="77777777" w:rsidR="00D86668" w:rsidRPr="005A2ED3" w:rsidRDefault="00D86668" w:rsidP="00C11675">
            <w:pPr>
              <w:rPr>
                <w:rFonts w:ascii="Arial Narrow" w:hAnsi="Arial Narrow" w:cs="Calibri"/>
                <w:b/>
                <w:bCs/>
                <w:color w:val="000000"/>
                <w:sz w:val="20"/>
                <w:szCs w:val="20"/>
              </w:rPr>
            </w:pPr>
          </w:p>
        </w:tc>
        <w:tc>
          <w:tcPr>
            <w:tcW w:w="1701" w:type="dxa"/>
            <w:vMerge/>
            <w:shd w:val="clear" w:color="auto" w:fill="FFFFFF" w:themeFill="background1"/>
            <w:vAlign w:val="center"/>
            <w:hideMark/>
          </w:tcPr>
          <w:p w14:paraId="6F3BD776" w14:textId="77777777" w:rsidR="00D86668" w:rsidRPr="005A2ED3" w:rsidRDefault="00D86668" w:rsidP="00C11675">
            <w:pPr>
              <w:rPr>
                <w:rFonts w:ascii="Arial Narrow" w:hAnsi="Arial Narrow" w:cs="Calibri"/>
                <w:sz w:val="20"/>
                <w:szCs w:val="20"/>
              </w:rPr>
            </w:pPr>
          </w:p>
        </w:tc>
        <w:tc>
          <w:tcPr>
            <w:tcW w:w="851" w:type="dxa"/>
            <w:shd w:val="clear" w:color="auto" w:fill="FFFFFF" w:themeFill="background1"/>
            <w:vAlign w:val="center"/>
            <w:hideMark/>
          </w:tcPr>
          <w:p w14:paraId="65C5CEDD" w14:textId="77777777" w:rsidR="00D86668" w:rsidRPr="005A2ED3" w:rsidRDefault="00D86668" w:rsidP="00C11675">
            <w:pPr>
              <w:jc w:val="center"/>
              <w:rPr>
                <w:rFonts w:ascii="Arial Narrow" w:hAnsi="Arial Narrow" w:cs="Calibri"/>
                <w:sz w:val="20"/>
                <w:szCs w:val="20"/>
              </w:rPr>
            </w:pPr>
            <w:r w:rsidRPr="005A2ED3">
              <w:rPr>
                <w:rFonts w:ascii="Arial Narrow" w:hAnsi="Arial Narrow" w:cs="Calibri"/>
                <w:sz w:val="20"/>
                <w:szCs w:val="20"/>
              </w:rPr>
              <w:t>VRR</w:t>
            </w:r>
          </w:p>
        </w:tc>
        <w:tc>
          <w:tcPr>
            <w:tcW w:w="1276" w:type="dxa"/>
            <w:shd w:val="clear" w:color="auto" w:fill="FFFFFF" w:themeFill="background1"/>
          </w:tcPr>
          <w:p w14:paraId="709DDE02" w14:textId="77777777" w:rsidR="00D86668" w:rsidRPr="005A2ED3" w:rsidRDefault="00D86668" w:rsidP="00C11675">
            <w:pPr>
              <w:jc w:val="right"/>
              <w:rPr>
                <w:rFonts w:ascii="Arial Narrow" w:hAnsi="Arial Narrow" w:cs="Calibri"/>
                <w:sz w:val="20"/>
                <w:szCs w:val="20"/>
              </w:rPr>
            </w:pPr>
            <w:r w:rsidRPr="00FD7F87">
              <w:rPr>
                <w:rFonts w:ascii="Arial Narrow" w:hAnsi="Arial Narrow" w:cs="Calibri"/>
                <w:sz w:val="20"/>
                <w:szCs w:val="20"/>
              </w:rPr>
              <w:t>208 725</w:t>
            </w:r>
          </w:p>
        </w:tc>
        <w:tc>
          <w:tcPr>
            <w:tcW w:w="1134" w:type="dxa"/>
            <w:shd w:val="clear" w:color="auto" w:fill="FFFFFF" w:themeFill="background1"/>
          </w:tcPr>
          <w:p w14:paraId="735AD7E1"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0</w:t>
            </w:r>
          </w:p>
        </w:tc>
        <w:tc>
          <w:tcPr>
            <w:tcW w:w="1275" w:type="dxa"/>
            <w:shd w:val="clear" w:color="auto" w:fill="FFFFFF" w:themeFill="background1"/>
          </w:tcPr>
          <w:p w14:paraId="7F18B4F7" w14:textId="77777777" w:rsidR="00D86668" w:rsidRPr="005A2ED3" w:rsidRDefault="00D86668" w:rsidP="00C11675">
            <w:pPr>
              <w:jc w:val="right"/>
              <w:rPr>
                <w:rFonts w:ascii="Arial Narrow" w:hAnsi="Arial Narrow" w:cs="Calibri"/>
                <w:sz w:val="20"/>
                <w:szCs w:val="20"/>
              </w:rPr>
            </w:pPr>
            <w:r w:rsidRPr="00C55EC4">
              <w:rPr>
                <w:rFonts w:ascii="Arial Narrow" w:hAnsi="Arial Narrow" w:cs="Calibri"/>
                <w:sz w:val="20"/>
                <w:szCs w:val="20"/>
              </w:rPr>
              <w:t>208 725</w:t>
            </w:r>
          </w:p>
        </w:tc>
        <w:tc>
          <w:tcPr>
            <w:tcW w:w="2694" w:type="dxa"/>
            <w:shd w:val="clear" w:color="auto" w:fill="FFFFFF" w:themeFill="background1"/>
          </w:tcPr>
          <w:p w14:paraId="71E36D06" w14:textId="77777777" w:rsidR="00D86668" w:rsidRPr="00C55EC4" w:rsidRDefault="00D86668" w:rsidP="00C11675">
            <w:pPr>
              <w:jc w:val="right"/>
              <w:rPr>
                <w:rFonts w:ascii="Arial Narrow" w:hAnsi="Arial Narrow" w:cs="Calibri"/>
                <w:sz w:val="20"/>
                <w:szCs w:val="20"/>
              </w:rPr>
            </w:pPr>
          </w:p>
        </w:tc>
      </w:tr>
      <w:tr w:rsidR="00D86668" w:rsidRPr="005A2ED3" w14:paraId="5B31F66D" w14:textId="77777777" w:rsidTr="00D86668">
        <w:tc>
          <w:tcPr>
            <w:tcW w:w="1129" w:type="dxa"/>
            <w:vMerge/>
            <w:vAlign w:val="center"/>
            <w:hideMark/>
          </w:tcPr>
          <w:p w14:paraId="26249B0A"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655C92D1"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000000" w:fill="DCE6F1"/>
            <w:vAlign w:val="center"/>
            <w:hideMark/>
          </w:tcPr>
          <w:p w14:paraId="2B794101" w14:textId="77777777" w:rsidR="00D86668" w:rsidRPr="00063E86" w:rsidRDefault="00D86668" w:rsidP="00C11675">
            <w:pPr>
              <w:jc w:val="center"/>
              <w:rPr>
                <w:rFonts w:ascii="Arial Narrow" w:hAnsi="Arial Narrow" w:cs="Calibri"/>
                <w:b/>
                <w:bCs/>
                <w:color w:val="000000"/>
                <w:sz w:val="20"/>
                <w:szCs w:val="20"/>
              </w:rPr>
            </w:pPr>
            <w:r w:rsidRPr="00063E86">
              <w:rPr>
                <w:rFonts w:ascii="Arial Narrow" w:hAnsi="Arial Narrow" w:cs="Calibri"/>
                <w:b/>
                <w:bCs/>
                <w:color w:val="000000"/>
                <w:sz w:val="20"/>
                <w:szCs w:val="20"/>
              </w:rPr>
              <w:t>MRR</w:t>
            </w:r>
          </w:p>
        </w:tc>
        <w:tc>
          <w:tcPr>
            <w:tcW w:w="1276" w:type="dxa"/>
            <w:shd w:val="clear" w:color="000000" w:fill="DCE6F1"/>
          </w:tcPr>
          <w:p w14:paraId="65BF9E79"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59 861 000</w:t>
            </w:r>
          </w:p>
        </w:tc>
        <w:tc>
          <w:tcPr>
            <w:tcW w:w="1134" w:type="dxa"/>
            <w:shd w:val="clear" w:color="000000" w:fill="DCE6F1"/>
          </w:tcPr>
          <w:p w14:paraId="032F835E" w14:textId="77777777" w:rsidR="00D86668" w:rsidRPr="005D326A" w:rsidRDefault="00D86668" w:rsidP="00C11675">
            <w:pPr>
              <w:jc w:val="right"/>
              <w:rPr>
                <w:rFonts w:ascii="Arial Narrow" w:hAnsi="Arial Narrow" w:cs="Calibri"/>
                <w:sz w:val="20"/>
                <w:szCs w:val="20"/>
              </w:rPr>
            </w:pPr>
            <w:r w:rsidRPr="00FE3C5A">
              <w:rPr>
                <w:rFonts w:ascii="Arial Narrow" w:hAnsi="Arial Narrow" w:cs="Calibri"/>
                <w:sz w:val="20"/>
                <w:szCs w:val="20"/>
              </w:rPr>
              <w:t>0</w:t>
            </w:r>
          </w:p>
        </w:tc>
        <w:tc>
          <w:tcPr>
            <w:tcW w:w="1275" w:type="dxa"/>
            <w:shd w:val="clear" w:color="000000" w:fill="DCE6F1"/>
          </w:tcPr>
          <w:p w14:paraId="50CF66D8" w14:textId="77777777" w:rsidR="00D86668" w:rsidRPr="005D326A" w:rsidRDefault="00D86668" w:rsidP="00C11675">
            <w:pPr>
              <w:jc w:val="right"/>
              <w:rPr>
                <w:rFonts w:ascii="Arial Narrow" w:hAnsi="Arial Narrow" w:cs="Calibri"/>
                <w:sz w:val="20"/>
                <w:szCs w:val="20"/>
              </w:rPr>
            </w:pPr>
            <w:r w:rsidRPr="00C55EC4">
              <w:rPr>
                <w:rFonts w:ascii="Arial Narrow" w:hAnsi="Arial Narrow" w:cs="Calibri"/>
                <w:sz w:val="20"/>
                <w:szCs w:val="20"/>
              </w:rPr>
              <w:t>59 861 000</w:t>
            </w:r>
          </w:p>
        </w:tc>
        <w:tc>
          <w:tcPr>
            <w:tcW w:w="2694" w:type="dxa"/>
            <w:shd w:val="clear" w:color="000000" w:fill="DCE6F1"/>
          </w:tcPr>
          <w:p w14:paraId="3FA94111" w14:textId="77777777" w:rsidR="00D86668" w:rsidRPr="00C55EC4" w:rsidRDefault="00D86668" w:rsidP="00C11675">
            <w:pPr>
              <w:jc w:val="right"/>
              <w:rPr>
                <w:rFonts w:ascii="Arial Narrow" w:hAnsi="Arial Narrow" w:cs="Calibri"/>
                <w:sz w:val="20"/>
                <w:szCs w:val="20"/>
              </w:rPr>
            </w:pPr>
          </w:p>
        </w:tc>
      </w:tr>
      <w:tr w:rsidR="00D86668" w:rsidRPr="005A2ED3" w14:paraId="06773BE9" w14:textId="77777777" w:rsidTr="00D86668">
        <w:tc>
          <w:tcPr>
            <w:tcW w:w="1129" w:type="dxa"/>
            <w:vMerge/>
            <w:vAlign w:val="center"/>
            <w:hideMark/>
          </w:tcPr>
          <w:p w14:paraId="26C797DB" w14:textId="77777777" w:rsidR="00D86668" w:rsidRPr="005A2ED3" w:rsidRDefault="00D86668" w:rsidP="00C11675">
            <w:pPr>
              <w:rPr>
                <w:rFonts w:ascii="Arial Narrow" w:hAnsi="Arial Narrow" w:cs="Calibri"/>
                <w:b/>
                <w:bCs/>
                <w:color w:val="000000"/>
                <w:sz w:val="20"/>
                <w:szCs w:val="20"/>
              </w:rPr>
            </w:pPr>
          </w:p>
        </w:tc>
        <w:tc>
          <w:tcPr>
            <w:tcW w:w="1701" w:type="dxa"/>
            <w:shd w:val="clear" w:color="000000" w:fill="DCE6F1"/>
            <w:vAlign w:val="center"/>
            <w:hideMark/>
          </w:tcPr>
          <w:p w14:paraId="5219616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000000" w:fill="DCE6F1"/>
            <w:vAlign w:val="center"/>
            <w:hideMark/>
          </w:tcPr>
          <w:p w14:paraId="32B9C89D" w14:textId="77777777" w:rsidR="00D86668" w:rsidRPr="00063E86" w:rsidRDefault="00D86668" w:rsidP="00C11675">
            <w:pPr>
              <w:jc w:val="center"/>
              <w:rPr>
                <w:rFonts w:ascii="Arial Narrow" w:hAnsi="Arial Narrow" w:cs="Calibri"/>
                <w:b/>
                <w:bCs/>
                <w:color w:val="000000"/>
                <w:sz w:val="20"/>
                <w:szCs w:val="20"/>
              </w:rPr>
            </w:pPr>
            <w:r w:rsidRPr="00063E86">
              <w:rPr>
                <w:rFonts w:ascii="Arial Narrow" w:hAnsi="Arial Narrow" w:cs="Calibri"/>
                <w:b/>
                <w:bCs/>
                <w:color w:val="000000"/>
                <w:sz w:val="20"/>
                <w:szCs w:val="20"/>
              </w:rPr>
              <w:t>VRR</w:t>
            </w:r>
          </w:p>
        </w:tc>
        <w:tc>
          <w:tcPr>
            <w:tcW w:w="1276" w:type="dxa"/>
            <w:shd w:val="clear" w:color="000000" w:fill="DCE6F1"/>
          </w:tcPr>
          <w:p w14:paraId="1C520AFA"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2 139 000</w:t>
            </w:r>
          </w:p>
        </w:tc>
        <w:tc>
          <w:tcPr>
            <w:tcW w:w="1134" w:type="dxa"/>
            <w:shd w:val="clear" w:color="000000" w:fill="DCE6F1"/>
          </w:tcPr>
          <w:p w14:paraId="127BC76E" w14:textId="77777777" w:rsidR="00D86668" w:rsidRPr="005D326A" w:rsidRDefault="00D86668" w:rsidP="00C11675">
            <w:pPr>
              <w:jc w:val="right"/>
              <w:rPr>
                <w:rFonts w:ascii="Arial Narrow" w:hAnsi="Arial Narrow" w:cs="Calibri"/>
                <w:sz w:val="20"/>
                <w:szCs w:val="20"/>
              </w:rPr>
            </w:pPr>
            <w:r w:rsidRPr="00FE3C5A">
              <w:rPr>
                <w:rFonts w:ascii="Arial Narrow" w:hAnsi="Arial Narrow" w:cs="Calibri"/>
                <w:sz w:val="20"/>
                <w:szCs w:val="20"/>
              </w:rPr>
              <w:t>0</w:t>
            </w:r>
          </w:p>
        </w:tc>
        <w:tc>
          <w:tcPr>
            <w:tcW w:w="1275" w:type="dxa"/>
            <w:shd w:val="clear" w:color="000000" w:fill="DCE6F1"/>
          </w:tcPr>
          <w:p w14:paraId="319E79B0" w14:textId="77777777" w:rsidR="00D86668" w:rsidRPr="005D326A" w:rsidRDefault="00D86668" w:rsidP="00C11675">
            <w:pPr>
              <w:jc w:val="right"/>
              <w:rPr>
                <w:rFonts w:ascii="Arial Narrow" w:hAnsi="Arial Narrow" w:cs="Calibri"/>
                <w:sz w:val="20"/>
                <w:szCs w:val="20"/>
              </w:rPr>
            </w:pPr>
            <w:r w:rsidRPr="00C55EC4">
              <w:rPr>
                <w:rFonts w:ascii="Arial Narrow" w:hAnsi="Arial Narrow" w:cs="Calibri"/>
                <w:sz w:val="20"/>
                <w:szCs w:val="20"/>
              </w:rPr>
              <w:t>2 139 000</w:t>
            </w:r>
          </w:p>
        </w:tc>
        <w:tc>
          <w:tcPr>
            <w:tcW w:w="2694" w:type="dxa"/>
            <w:shd w:val="clear" w:color="000000" w:fill="DCE6F1"/>
          </w:tcPr>
          <w:p w14:paraId="27AF2DA8" w14:textId="77777777" w:rsidR="00D86668" w:rsidRPr="00C55EC4" w:rsidRDefault="00D86668" w:rsidP="00C11675">
            <w:pPr>
              <w:jc w:val="right"/>
              <w:rPr>
                <w:rFonts w:ascii="Arial Narrow" w:hAnsi="Arial Narrow" w:cs="Calibri"/>
                <w:sz w:val="20"/>
                <w:szCs w:val="20"/>
              </w:rPr>
            </w:pPr>
          </w:p>
        </w:tc>
      </w:tr>
      <w:tr w:rsidR="00D86668" w:rsidRPr="005A2ED3" w14:paraId="1DCB5526" w14:textId="77777777" w:rsidTr="00D86668">
        <w:tc>
          <w:tcPr>
            <w:tcW w:w="1129" w:type="dxa"/>
            <w:vMerge/>
            <w:tcBorders>
              <w:bottom w:val="single" w:sz="4" w:space="0" w:color="auto"/>
            </w:tcBorders>
            <w:vAlign w:val="center"/>
            <w:hideMark/>
          </w:tcPr>
          <w:p w14:paraId="2741FDC3" w14:textId="77777777" w:rsidR="00D86668" w:rsidRPr="005A2ED3" w:rsidRDefault="00D86668" w:rsidP="00C11675">
            <w:pPr>
              <w:rPr>
                <w:rFonts w:ascii="Arial Narrow" w:hAnsi="Arial Narrow" w:cs="Calibri"/>
                <w:b/>
                <w:bCs/>
                <w:color w:val="000000"/>
                <w:sz w:val="20"/>
                <w:szCs w:val="20"/>
              </w:rPr>
            </w:pPr>
          </w:p>
        </w:tc>
        <w:tc>
          <w:tcPr>
            <w:tcW w:w="1701" w:type="dxa"/>
            <w:tcBorders>
              <w:bottom w:val="single" w:sz="4" w:space="0" w:color="auto"/>
            </w:tcBorders>
            <w:shd w:val="clear" w:color="000000" w:fill="B8CCE4"/>
            <w:vAlign w:val="center"/>
            <w:hideMark/>
          </w:tcPr>
          <w:p w14:paraId="29B0EA72"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za PO</w:t>
            </w:r>
          </w:p>
        </w:tc>
        <w:tc>
          <w:tcPr>
            <w:tcW w:w="851" w:type="dxa"/>
            <w:tcBorders>
              <w:bottom w:val="single" w:sz="4" w:space="0" w:color="auto"/>
            </w:tcBorders>
            <w:shd w:val="clear" w:color="000000" w:fill="B8CCE4"/>
            <w:vAlign w:val="center"/>
            <w:hideMark/>
          </w:tcPr>
          <w:p w14:paraId="031EF1A2" w14:textId="77777777" w:rsidR="00D86668" w:rsidRPr="00063E86" w:rsidRDefault="00D86668" w:rsidP="00C11675">
            <w:pPr>
              <w:jc w:val="center"/>
              <w:rPr>
                <w:rFonts w:ascii="Arial Narrow" w:hAnsi="Arial Narrow" w:cs="Calibri"/>
                <w:b/>
                <w:bCs/>
                <w:color w:val="000000"/>
                <w:sz w:val="20"/>
                <w:szCs w:val="20"/>
              </w:rPr>
            </w:pPr>
            <w:r w:rsidRPr="00063E86">
              <w:rPr>
                <w:rFonts w:ascii="Arial Narrow" w:hAnsi="Arial Narrow" w:cs="Calibri"/>
                <w:b/>
                <w:bCs/>
                <w:color w:val="000000"/>
                <w:sz w:val="20"/>
                <w:szCs w:val="20"/>
              </w:rPr>
              <w:t> </w:t>
            </w:r>
          </w:p>
        </w:tc>
        <w:tc>
          <w:tcPr>
            <w:tcW w:w="1276" w:type="dxa"/>
            <w:tcBorders>
              <w:bottom w:val="single" w:sz="4" w:space="0" w:color="auto"/>
            </w:tcBorders>
            <w:shd w:val="clear" w:color="000000" w:fill="B8CCE4"/>
          </w:tcPr>
          <w:p w14:paraId="55287BA3"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62 000 000</w:t>
            </w:r>
          </w:p>
        </w:tc>
        <w:tc>
          <w:tcPr>
            <w:tcW w:w="1134" w:type="dxa"/>
            <w:tcBorders>
              <w:bottom w:val="single" w:sz="4" w:space="0" w:color="auto"/>
            </w:tcBorders>
            <w:shd w:val="clear" w:color="000000" w:fill="B8CCE4"/>
          </w:tcPr>
          <w:p w14:paraId="0D1C075E" w14:textId="77777777" w:rsidR="00D86668" w:rsidRPr="005D326A" w:rsidRDefault="00D86668" w:rsidP="00C11675">
            <w:pPr>
              <w:jc w:val="right"/>
              <w:rPr>
                <w:rFonts w:ascii="Arial Narrow" w:hAnsi="Arial Narrow" w:cs="Calibri"/>
                <w:sz w:val="20"/>
                <w:szCs w:val="20"/>
              </w:rPr>
            </w:pPr>
            <w:r w:rsidRPr="00FE3C5A">
              <w:rPr>
                <w:rFonts w:ascii="Arial Narrow" w:hAnsi="Arial Narrow" w:cs="Calibri"/>
                <w:sz w:val="20"/>
                <w:szCs w:val="20"/>
              </w:rPr>
              <w:t>0</w:t>
            </w:r>
          </w:p>
        </w:tc>
        <w:tc>
          <w:tcPr>
            <w:tcW w:w="1275" w:type="dxa"/>
            <w:tcBorders>
              <w:bottom w:val="single" w:sz="4" w:space="0" w:color="auto"/>
            </w:tcBorders>
            <w:shd w:val="clear" w:color="000000" w:fill="B8CCE4"/>
          </w:tcPr>
          <w:p w14:paraId="075361E4" w14:textId="77777777" w:rsidR="00D86668" w:rsidRPr="005D326A" w:rsidRDefault="00D86668" w:rsidP="00C11675">
            <w:pPr>
              <w:jc w:val="right"/>
              <w:rPr>
                <w:rFonts w:ascii="Arial Narrow" w:hAnsi="Arial Narrow" w:cs="Calibri"/>
                <w:sz w:val="20"/>
                <w:szCs w:val="20"/>
              </w:rPr>
            </w:pPr>
            <w:r w:rsidRPr="00C55EC4">
              <w:rPr>
                <w:rFonts w:ascii="Arial Narrow" w:hAnsi="Arial Narrow" w:cs="Calibri"/>
                <w:sz w:val="20"/>
                <w:szCs w:val="20"/>
              </w:rPr>
              <w:t>62 000 000</w:t>
            </w:r>
          </w:p>
        </w:tc>
        <w:tc>
          <w:tcPr>
            <w:tcW w:w="2694" w:type="dxa"/>
            <w:tcBorders>
              <w:bottom w:val="single" w:sz="4" w:space="0" w:color="auto"/>
            </w:tcBorders>
            <w:shd w:val="clear" w:color="000000" w:fill="B8CCE4"/>
          </w:tcPr>
          <w:p w14:paraId="24DF18E8" w14:textId="77777777" w:rsidR="00D86668" w:rsidRPr="00C55EC4" w:rsidRDefault="00D86668" w:rsidP="00C11675">
            <w:pPr>
              <w:jc w:val="right"/>
              <w:rPr>
                <w:rFonts w:ascii="Arial Narrow" w:hAnsi="Arial Narrow" w:cs="Calibri"/>
                <w:sz w:val="20"/>
                <w:szCs w:val="20"/>
              </w:rPr>
            </w:pPr>
          </w:p>
        </w:tc>
      </w:tr>
      <w:tr w:rsidR="00D86668" w:rsidRPr="00A341AC" w14:paraId="56B2F396" w14:textId="77777777" w:rsidTr="00D86668">
        <w:tc>
          <w:tcPr>
            <w:tcW w:w="1129" w:type="dxa"/>
            <w:vMerge w:val="restart"/>
            <w:shd w:val="clear" w:color="auto" w:fill="auto"/>
            <w:vAlign w:val="center"/>
          </w:tcPr>
          <w:p w14:paraId="1C8E569E" w14:textId="77777777" w:rsidR="00D86668" w:rsidRDefault="00D86668" w:rsidP="00C11675">
            <w:pPr>
              <w:jc w:val="center"/>
              <w:rPr>
                <w:rFonts w:ascii="Arial Narrow" w:hAnsi="Arial Narrow" w:cs="Calibri"/>
                <w:b/>
                <w:bCs/>
                <w:color w:val="000000"/>
                <w:sz w:val="20"/>
                <w:szCs w:val="20"/>
              </w:rPr>
            </w:pPr>
            <w:r>
              <w:rPr>
                <w:rFonts w:ascii="Arial Narrow" w:hAnsi="Arial Narrow" w:cs="Calibri"/>
                <w:b/>
                <w:bCs/>
                <w:color w:val="000000"/>
                <w:sz w:val="20"/>
                <w:szCs w:val="20"/>
              </w:rPr>
              <w:t>7.</w:t>
            </w:r>
          </w:p>
          <w:p w14:paraId="1B9DADA3" w14:textId="77777777" w:rsidR="00D86668" w:rsidRPr="00A341AC" w:rsidRDefault="00D86668" w:rsidP="00C11675">
            <w:pPr>
              <w:rPr>
                <w:rFonts w:ascii="Arial Narrow" w:hAnsi="Arial Narrow" w:cs="Calibri"/>
                <w:b/>
                <w:bCs/>
                <w:color w:val="000000"/>
                <w:sz w:val="20"/>
                <w:szCs w:val="20"/>
              </w:rPr>
            </w:pPr>
            <w:r w:rsidRPr="00A341AC">
              <w:rPr>
                <w:rFonts w:ascii="Arial Narrow" w:hAnsi="Arial Narrow" w:cs="Calibri"/>
                <w:b/>
                <w:bCs/>
                <w:color w:val="000000"/>
                <w:sz w:val="20"/>
                <w:szCs w:val="20"/>
              </w:rPr>
              <w:t>REACT</w:t>
            </w:r>
            <w:r>
              <w:rPr>
                <w:rFonts w:ascii="Arial Narrow" w:hAnsi="Arial Narrow" w:cs="Calibri"/>
                <w:b/>
                <w:bCs/>
                <w:color w:val="000000"/>
                <w:sz w:val="20"/>
                <w:szCs w:val="20"/>
              </w:rPr>
              <w:t>-EÚ</w:t>
            </w:r>
          </w:p>
        </w:tc>
        <w:tc>
          <w:tcPr>
            <w:tcW w:w="1701" w:type="dxa"/>
            <w:shd w:val="clear" w:color="auto" w:fill="auto"/>
            <w:vAlign w:val="center"/>
          </w:tcPr>
          <w:p w14:paraId="0B1B0F93"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7.1. </w:t>
            </w:r>
            <w:r w:rsidRPr="000F0A0D">
              <w:rPr>
                <w:rFonts w:ascii="Arial Narrow" w:hAnsi="Arial Narrow" w:cs="Calibri"/>
                <w:iCs/>
                <w:sz w:val="20"/>
                <w:szCs w:val="20"/>
              </w:rPr>
              <w:t>Zvýšenie atraktivity a konkurencieschopnosti verejnej osobnej dopravy</w:t>
            </w:r>
          </w:p>
        </w:tc>
        <w:tc>
          <w:tcPr>
            <w:tcW w:w="851" w:type="dxa"/>
            <w:shd w:val="clear" w:color="auto" w:fill="auto"/>
            <w:vAlign w:val="center"/>
          </w:tcPr>
          <w:p w14:paraId="28312736" w14:textId="77777777" w:rsidR="00D86668" w:rsidRPr="00096DCD" w:rsidRDefault="00D86668" w:rsidP="00C11675">
            <w:pPr>
              <w:jc w:val="center"/>
              <w:rPr>
                <w:rFonts w:ascii="Arial Narrow" w:hAnsi="Arial Narrow" w:cs="Calibri"/>
                <w:bCs/>
                <w:color w:val="000000"/>
                <w:sz w:val="20"/>
                <w:szCs w:val="20"/>
              </w:rPr>
            </w:pPr>
            <w:r w:rsidRPr="00096DCD">
              <w:rPr>
                <w:rFonts w:ascii="Arial Narrow" w:hAnsi="Arial Narrow" w:cs="Calibri"/>
                <w:bCs/>
                <w:color w:val="000000"/>
                <w:sz w:val="20"/>
                <w:szCs w:val="20"/>
              </w:rPr>
              <w:t>N/A</w:t>
            </w:r>
          </w:p>
        </w:tc>
        <w:tc>
          <w:tcPr>
            <w:tcW w:w="1276" w:type="dxa"/>
            <w:shd w:val="clear" w:color="auto" w:fill="auto"/>
            <w:vAlign w:val="center"/>
          </w:tcPr>
          <w:p w14:paraId="00BA0DED"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8 600 000</w:t>
            </w:r>
          </w:p>
        </w:tc>
        <w:tc>
          <w:tcPr>
            <w:tcW w:w="1134" w:type="dxa"/>
            <w:shd w:val="clear" w:color="auto" w:fill="auto"/>
            <w:vAlign w:val="center"/>
          </w:tcPr>
          <w:p w14:paraId="7CB4DF43"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auto"/>
            <w:vAlign w:val="center"/>
          </w:tcPr>
          <w:p w14:paraId="41E606F3" w14:textId="77777777" w:rsidR="00D86668" w:rsidRPr="00595DFC" w:rsidRDefault="00D86668" w:rsidP="00C11675">
            <w:pPr>
              <w:jc w:val="right"/>
              <w:rPr>
                <w:rFonts w:ascii="Arial Narrow" w:hAnsi="Arial Narrow" w:cs="Calibri"/>
                <w:sz w:val="20"/>
                <w:szCs w:val="20"/>
              </w:rPr>
            </w:pPr>
            <w:r w:rsidRPr="00063E86">
              <w:rPr>
                <w:rFonts w:ascii="Arial Narrow" w:hAnsi="Arial Narrow" w:cs="Calibri"/>
                <w:sz w:val="20"/>
                <w:szCs w:val="20"/>
              </w:rPr>
              <w:t>8 600 000</w:t>
            </w:r>
          </w:p>
        </w:tc>
        <w:tc>
          <w:tcPr>
            <w:tcW w:w="2694" w:type="dxa"/>
          </w:tcPr>
          <w:p w14:paraId="30A5762A" w14:textId="77777777" w:rsidR="00D86668" w:rsidRDefault="00D86668" w:rsidP="00C11675">
            <w:pPr>
              <w:rPr>
                <w:rFonts w:ascii="Calibri" w:hAnsi="Calibri" w:cs="Calibri"/>
              </w:rPr>
            </w:pPr>
          </w:p>
        </w:tc>
      </w:tr>
      <w:tr w:rsidR="00D86668" w:rsidRPr="00A341AC" w14:paraId="66D00A7F" w14:textId="77777777" w:rsidTr="00D86668">
        <w:tc>
          <w:tcPr>
            <w:tcW w:w="1129" w:type="dxa"/>
            <w:vMerge/>
            <w:shd w:val="clear" w:color="auto" w:fill="auto"/>
            <w:vAlign w:val="center"/>
          </w:tcPr>
          <w:p w14:paraId="2A37A287"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3362D123"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7.2. </w:t>
            </w:r>
            <w:r w:rsidRPr="000F0A0D">
              <w:rPr>
                <w:rFonts w:ascii="Arial Narrow" w:hAnsi="Arial Narrow" w:cs="Calibri"/>
                <w:iCs/>
                <w:sz w:val="20"/>
                <w:szCs w:val="20"/>
              </w:rPr>
              <w:t>Zvýšenie atraktivity a prepravnej kapacity nemotorovej dopravy (predovšetkým cyklistickej dopravy) na celkovom počte prepravených osôb</w:t>
            </w:r>
          </w:p>
        </w:tc>
        <w:tc>
          <w:tcPr>
            <w:tcW w:w="851" w:type="dxa"/>
            <w:shd w:val="clear" w:color="auto" w:fill="auto"/>
            <w:vAlign w:val="center"/>
          </w:tcPr>
          <w:p w14:paraId="70FDF91D"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t>N/A</w:t>
            </w:r>
          </w:p>
        </w:tc>
        <w:tc>
          <w:tcPr>
            <w:tcW w:w="1276" w:type="dxa"/>
            <w:shd w:val="clear" w:color="auto" w:fill="auto"/>
            <w:vAlign w:val="center"/>
          </w:tcPr>
          <w:p w14:paraId="5A4ABFB9"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24 230</w:t>
            </w:r>
            <w:r>
              <w:rPr>
                <w:rFonts w:ascii="Arial Narrow" w:hAnsi="Arial Narrow" w:cs="Calibri"/>
                <w:sz w:val="20"/>
                <w:szCs w:val="20"/>
              </w:rPr>
              <w:t> </w:t>
            </w:r>
            <w:r w:rsidRPr="00063E86">
              <w:rPr>
                <w:rFonts w:ascii="Arial Narrow" w:hAnsi="Arial Narrow" w:cs="Calibri"/>
                <w:sz w:val="20"/>
                <w:szCs w:val="20"/>
              </w:rPr>
              <w:t>000</w:t>
            </w:r>
          </w:p>
        </w:tc>
        <w:tc>
          <w:tcPr>
            <w:tcW w:w="1134" w:type="dxa"/>
            <w:shd w:val="clear" w:color="auto" w:fill="auto"/>
            <w:vAlign w:val="center"/>
          </w:tcPr>
          <w:p w14:paraId="00AA1585"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6 004 489</w:t>
            </w:r>
          </w:p>
        </w:tc>
        <w:tc>
          <w:tcPr>
            <w:tcW w:w="1275" w:type="dxa"/>
            <w:shd w:val="clear" w:color="auto" w:fill="auto"/>
            <w:vAlign w:val="center"/>
          </w:tcPr>
          <w:p w14:paraId="180845B8"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30 234 489</w:t>
            </w:r>
          </w:p>
        </w:tc>
        <w:tc>
          <w:tcPr>
            <w:tcW w:w="2694" w:type="dxa"/>
          </w:tcPr>
          <w:p w14:paraId="10675261" w14:textId="77777777" w:rsidR="00D86668" w:rsidRPr="006A5E5C" w:rsidRDefault="00D86668" w:rsidP="00C11675">
            <w:pPr>
              <w:rPr>
                <w:rFonts w:ascii="Arial Narrow" w:hAnsi="Arial Narrow" w:cs="Calibri"/>
                <w:sz w:val="20"/>
                <w:szCs w:val="20"/>
              </w:rPr>
            </w:pPr>
            <w:r>
              <w:rPr>
                <w:rFonts w:ascii="Arial Narrow" w:hAnsi="Arial Narrow" w:cs="Calibri"/>
                <w:sz w:val="20"/>
                <w:szCs w:val="20"/>
              </w:rPr>
              <w:t xml:space="preserve">Doplnenie alokácie druhej </w:t>
            </w:r>
            <w:proofErr w:type="spellStart"/>
            <w:r>
              <w:rPr>
                <w:rFonts w:ascii="Arial Narrow" w:hAnsi="Arial Narrow" w:cs="Calibri"/>
                <w:sz w:val="20"/>
                <w:szCs w:val="20"/>
              </w:rPr>
              <w:t>tranže</w:t>
            </w:r>
            <w:proofErr w:type="spellEnd"/>
            <w:r>
              <w:rPr>
                <w:rFonts w:ascii="Arial Narrow" w:hAnsi="Arial Narrow" w:cs="Calibri"/>
                <w:sz w:val="20"/>
                <w:szCs w:val="20"/>
              </w:rPr>
              <w:t xml:space="preserve"> o 6 004 489 Eur</w:t>
            </w:r>
          </w:p>
        </w:tc>
      </w:tr>
      <w:tr w:rsidR="00D86668" w:rsidRPr="00A341AC" w14:paraId="2DA6F1C1" w14:textId="77777777" w:rsidTr="00D86668">
        <w:tc>
          <w:tcPr>
            <w:tcW w:w="1129" w:type="dxa"/>
            <w:vMerge/>
            <w:shd w:val="clear" w:color="auto" w:fill="auto"/>
            <w:vAlign w:val="center"/>
          </w:tcPr>
          <w:p w14:paraId="562F959F"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7A8BD112"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7.3. Zlepšenie environmentálnych aspektov v mestách a mestských oblastiach</w:t>
            </w:r>
          </w:p>
        </w:tc>
        <w:tc>
          <w:tcPr>
            <w:tcW w:w="851" w:type="dxa"/>
            <w:shd w:val="clear" w:color="auto" w:fill="auto"/>
            <w:vAlign w:val="center"/>
          </w:tcPr>
          <w:p w14:paraId="60E09759"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t>N/A</w:t>
            </w:r>
          </w:p>
        </w:tc>
        <w:tc>
          <w:tcPr>
            <w:tcW w:w="1276" w:type="dxa"/>
            <w:shd w:val="clear" w:color="auto" w:fill="auto"/>
            <w:vAlign w:val="center"/>
          </w:tcPr>
          <w:p w14:paraId="231B1C42"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13 285</w:t>
            </w:r>
            <w:r>
              <w:rPr>
                <w:rFonts w:ascii="Arial Narrow" w:hAnsi="Arial Narrow" w:cs="Calibri"/>
                <w:sz w:val="20"/>
                <w:szCs w:val="20"/>
              </w:rPr>
              <w:t> </w:t>
            </w:r>
            <w:r w:rsidRPr="00063E86">
              <w:rPr>
                <w:rFonts w:ascii="Arial Narrow" w:hAnsi="Arial Narrow" w:cs="Calibri"/>
                <w:sz w:val="20"/>
                <w:szCs w:val="20"/>
              </w:rPr>
              <w:t>195</w:t>
            </w:r>
          </w:p>
        </w:tc>
        <w:tc>
          <w:tcPr>
            <w:tcW w:w="1134" w:type="dxa"/>
            <w:shd w:val="clear" w:color="auto" w:fill="auto"/>
            <w:vAlign w:val="center"/>
          </w:tcPr>
          <w:p w14:paraId="6217CB2B"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auto"/>
            <w:vAlign w:val="center"/>
          </w:tcPr>
          <w:p w14:paraId="45DA1D7E" w14:textId="77777777" w:rsidR="00D86668" w:rsidRPr="00595DFC" w:rsidRDefault="00D86668" w:rsidP="00C11675">
            <w:pPr>
              <w:jc w:val="right"/>
              <w:rPr>
                <w:rFonts w:ascii="Arial Narrow" w:hAnsi="Arial Narrow" w:cs="Calibri"/>
                <w:sz w:val="20"/>
                <w:szCs w:val="20"/>
              </w:rPr>
            </w:pPr>
            <w:r w:rsidRPr="00063E86">
              <w:rPr>
                <w:rFonts w:ascii="Arial Narrow" w:hAnsi="Arial Narrow" w:cs="Calibri"/>
                <w:sz w:val="20"/>
                <w:szCs w:val="20"/>
              </w:rPr>
              <w:t>13 285</w:t>
            </w:r>
            <w:r>
              <w:rPr>
                <w:rFonts w:ascii="Arial Narrow" w:hAnsi="Arial Narrow" w:cs="Calibri"/>
                <w:sz w:val="20"/>
                <w:szCs w:val="20"/>
              </w:rPr>
              <w:t> </w:t>
            </w:r>
            <w:r w:rsidRPr="00063E86">
              <w:rPr>
                <w:rFonts w:ascii="Arial Narrow" w:hAnsi="Arial Narrow" w:cs="Calibri"/>
                <w:sz w:val="20"/>
                <w:szCs w:val="20"/>
              </w:rPr>
              <w:t>195</w:t>
            </w:r>
            <w:r>
              <w:rPr>
                <w:rFonts w:ascii="Arial Narrow" w:hAnsi="Arial Narrow" w:cs="Calibri"/>
                <w:sz w:val="20"/>
                <w:szCs w:val="20"/>
              </w:rPr>
              <w:t xml:space="preserve">   </w:t>
            </w:r>
          </w:p>
        </w:tc>
        <w:tc>
          <w:tcPr>
            <w:tcW w:w="2694" w:type="dxa"/>
          </w:tcPr>
          <w:p w14:paraId="5BAA41B0" w14:textId="77777777" w:rsidR="00D86668" w:rsidRPr="006A5E5C" w:rsidRDefault="00D86668" w:rsidP="00C11675">
            <w:pPr>
              <w:rPr>
                <w:rFonts w:ascii="Arial Narrow" w:hAnsi="Arial Narrow" w:cs="Calibri"/>
                <w:sz w:val="20"/>
                <w:szCs w:val="20"/>
              </w:rPr>
            </w:pPr>
          </w:p>
        </w:tc>
      </w:tr>
      <w:tr w:rsidR="00D86668" w:rsidRPr="005A2ED3" w14:paraId="386829C7" w14:textId="77777777" w:rsidTr="00D86668">
        <w:trPr>
          <w:trHeight w:val="1011"/>
        </w:trPr>
        <w:tc>
          <w:tcPr>
            <w:tcW w:w="1129" w:type="dxa"/>
            <w:vMerge/>
            <w:shd w:val="clear" w:color="auto" w:fill="auto"/>
            <w:vAlign w:val="center"/>
          </w:tcPr>
          <w:p w14:paraId="78953368"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0EE202C3"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7.4. Zvýšenie kapacít základných škôl v Bratislavskom kraji</w:t>
            </w:r>
          </w:p>
        </w:tc>
        <w:tc>
          <w:tcPr>
            <w:tcW w:w="851" w:type="dxa"/>
            <w:shd w:val="clear" w:color="auto" w:fill="auto"/>
            <w:vAlign w:val="center"/>
          </w:tcPr>
          <w:p w14:paraId="0F90AE90"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t>N/A</w:t>
            </w:r>
          </w:p>
        </w:tc>
        <w:tc>
          <w:tcPr>
            <w:tcW w:w="1276" w:type="dxa"/>
            <w:shd w:val="clear" w:color="auto" w:fill="auto"/>
            <w:vAlign w:val="center"/>
          </w:tcPr>
          <w:p w14:paraId="3C8574DF"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31 264</w:t>
            </w:r>
            <w:r>
              <w:rPr>
                <w:rFonts w:ascii="Arial Narrow" w:hAnsi="Arial Narrow" w:cs="Calibri"/>
                <w:sz w:val="20"/>
                <w:szCs w:val="20"/>
              </w:rPr>
              <w:t> </w:t>
            </w:r>
            <w:r w:rsidRPr="00063E86">
              <w:rPr>
                <w:rFonts w:ascii="Arial Narrow" w:hAnsi="Arial Narrow" w:cs="Calibri"/>
                <w:sz w:val="20"/>
                <w:szCs w:val="20"/>
              </w:rPr>
              <w:t>400</w:t>
            </w:r>
          </w:p>
        </w:tc>
        <w:tc>
          <w:tcPr>
            <w:tcW w:w="1134" w:type="dxa"/>
            <w:shd w:val="clear" w:color="auto" w:fill="auto"/>
            <w:vAlign w:val="center"/>
          </w:tcPr>
          <w:p w14:paraId="66E16F71" w14:textId="77777777" w:rsidR="00D86668" w:rsidRPr="00595DFC" w:rsidRDefault="00D86668" w:rsidP="00C11675">
            <w:pPr>
              <w:jc w:val="right"/>
              <w:rPr>
                <w:rFonts w:ascii="Arial Narrow" w:hAnsi="Arial Narrow" w:cs="Calibri"/>
                <w:sz w:val="20"/>
                <w:szCs w:val="20"/>
              </w:rPr>
            </w:pPr>
            <w:r w:rsidRPr="00A53203">
              <w:rPr>
                <w:rFonts w:ascii="Arial Narrow" w:hAnsi="Arial Narrow" w:cs="Calibri"/>
                <w:sz w:val="20"/>
                <w:szCs w:val="20"/>
              </w:rPr>
              <w:t>30 000 000</w:t>
            </w:r>
          </w:p>
        </w:tc>
        <w:tc>
          <w:tcPr>
            <w:tcW w:w="1275" w:type="dxa"/>
            <w:shd w:val="clear" w:color="auto" w:fill="auto"/>
            <w:vAlign w:val="center"/>
          </w:tcPr>
          <w:p w14:paraId="717D397C"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61 264 400</w:t>
            </w:r>
          </w:p>
        </w:tc>
        <w:tc>
          <w:tcPr>
            <w:tcW w:w="2694" w:type="dxa"/>
          </w:tcPr>
          <w:p w14:paraId="6C13386A" w14:textId="77777777" w:rsidR="00D86668" w:rsidRPr="006A5E5C" w:rsidRDefault="00D86668" w:rsidP="00C11675">
            <w:pPr>
              <w:rPr>
                <w:rFonts w:ascii="Arial Narrow" w:hAnsi="Arial Narrow" w:cs="Calibri"/>
                <w:sz w:val="20"/>
                <w:szCs w:val="20"/>
              </w:rPr>
            </w:pPr>
            <w:r>
              <w:rPr>
                <w:rFonts w:ascii="Arial Narrow" w:hAnsi="Arial Narrow" w:cs="Calibri"/>
                <w:sz w:val="20"/>
                <w:szCs w:val="20"/>
              </w:rPr>
              <w:t xml:space="preserve">Doplnenie alokácie druhej </w:t>
            </w:r>
            <w:proofErr w:type="spellStart"/>
            <w:r>
              <w:rPr>
                <w:rFonts w:ascii="Arial Narrow" w:hAnsi="Arial Narrow" w:cs="Calibri"/>
                <w:sz w:val="20"/>
                <w:szCs w:val="20"/>
              </w:rPr>
              <w:t>tranže</w:t>
            </w:r>
            <w:proofErr w:type="spellEnd"/>
            <w:r>
              <w:rPr>
                <w:rFonts w:ascii="Arial Narrow" w:hAnsi="Arial Narrow" w:cs="Calibri"/>
                <w:sz w:val="20"/>
                <w:szCs w:val="20"/>
              </w:rPr>
              <w:t xml:space="preserve"> o 30 000 000 Eur</w:t>
            </w:r>
          </w:p>
        </w:tc>
      </w:tr>
      <w:tr w:rsidR="00D86668" w:rsidRPr="005A2ED3" w14:paraId="15740F81" w14:textId="77777777" w:rsidTr="00D86668">
        <w:tc>
          <w:tcPr>
            <w:tcW w:w="1129" w:type="dxa"/>
            <w:vMerge/>
            <w:shd w:val="clear" w:color="auto" w:fill="auto"/>
            <w:vAlign w:val="center"/>
          </w:tcPr>
          <w:p w14:paraId="0F178718"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14A6685B"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7.5. </w:t>
            </w:r>
            <w:r w:rsidRPr="000F0A0D">
              <w:rPr>
                <w:rFonts w:ascii="Arial Narrow" w:hAnsi="Arial Narrow" w:cs="Calibri"/>
                <w:iCs/>
                <w:sz w:val="20"/>
                <w:szCs w:val="20"/>
              </w:rPr>
              <w:t>Zvýšenie počtu žiakov stredných odborných škôl na praktickom vyučovaní v Banskobystrickom kraji</w:t>
            </w:r>
          </w:p>
        </w:tc>
        <w:tc>
          <w:tcPr>
            <w:tcW w:w="851" w:type="dxa"/>
            <w:shd w:val="clear" w:color="auto" w:fill="auto"/>
            <w:vAlign w:val="center"/>
          </w:tcPr>
          <w:p w14:paraId="4EFE2D38"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t>N/A</w:t>
            </w:r>
          </w:p>
        </w:tc>
        <w:tc>
          <w:tcPr>
            <w:tcW w:w="1276" w:type="dxa"/>
            <w:shd w:val="clear" w:color="auto" w:fill="auto"/>
            <w:vAlign w:val="center"/>
          </w:tcPr>
          <w:p w14:paraId="0819A619"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23 448</w:t>
            </w:r>
            <w:r>
              <w:rPr>
                <w:rFonts w:ascii="Arial Narrow" w:hAnsi="Arial Narrow" w:cs="Calibri"/>
                <w:sz w:val="20"/>
                <w:szCs w:val="20"/>
              </w:rPr>
              <w:t> </w:t>
            </w:r>
            <w:r w:rsidRPr="00063E86">
              <w:rPr>
                <w:rFonts w:ascii="Arial Narrow" w:hAnsi="Arial Narrow" w:cs="Calibri"/>
                <w:sz w:val="20"/>
                <w:szCs w:val="20"/>
              </w:rPr>
              <w:t>300</w:t>
            </w:r>
          </w:p>
        </w:tc>
        <w:tc>
          <w:tcPr>
            <w:tcW w:w="1134" w:type="dxa"/>
            <w:shd w:val="clear" w:color="auto" w:fill="auto"/>
            <w:vAlign w:val="center"/>
          </w:tcPr>
          <w:p w14:paraId="5B05BE02"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auto"/>
            <w:vAlign w:val="center"/>
          </w:tcPr>
          <w:p w14:paraId="06574406" w14:textId="77777777" w:rsidR="00D86668" w:rsidRPr="00595DFC" w:rsidRDefault="00D86668" w:rsidP="00C11675">
            <w:pPr>
              <w:jc w:val="right"/>
              <w:rPr>
                <w:rFonts w:ascii="Arial Narrow" w:hAnsi="Arial Narrow" w:cs="Calibri"/>
                <w:sz w:val="20"/>
                <w:szCs w:val="20"/>
              </w:rPr>
            </w:pPr>
            <w:r w:rsidRPr="00063E86">
              <w:rPr>
                <w:rFonts w:ascii="Arial Narrow" w:hAnsi="Arial Narrow" w:cs="Calibri"/>
                <w:sz w:val="20"/>
                <w:szCs w:val="20"/>
              </w:rPr>
              <w:t>23 448</w:t>
            </w:r>
            <w:r>
              <w:rPr>
                <w:rFonts w:ascii="Arial Narrow" w:hAnsi="Arial Narrow" w:cs="Calibri"/>
                <w:sz w:val="20"/>
                <w:szCs w:val="20"/>
              </w:rPr>
              <w:t> </w:t>
            </w:r>
            <w:r w:rsidRPr="00063E86">
              <w:rPr>
                <w:rFonts w:ascii="Arial Narrow" w:hAnsi="Arial Narrow" w:cs="Calibri"/>
                <w:sz w:val="20"/>
                <w:szCs w:val="20"/>
              </w:rPr>
              <w:t>300</w:t>
            </w:r>
          </w:p>
        </w:tc>
        <w:tc>
          <w:tcPr>
            <w:tcW w:w="2694" w:type="dxa"/>
          </w:tcPr>
          <w:p w14:paraId="5CD93FDE" w14:textId="77777777" w:rsidR="00D86668" w:rsidRDefault="00D86668" w:rsidP="00C11675">
            <w:pPr>
              <w:rPr>
                <w:rFonts w:ascii="Calibri" w:hAnsi="Calibri" w:cs="Calibri"/>
              </w:rPr>
            </w:pPr>
          </w:p>
        </w:tc>
      </w:tr>
      <w:tr w:rsidR="00D86668" w:rsidRPr="005A2ED3" w14:paraId="4732DF9A" w14:textId="77777777" w:rsidTr="00D86668">
        <w:tc>
          <w:tcPr>
            <w:tcW w:w="1129" w:type="dxa"/>
            <w:vMerge/>
            <w:shd w:val="clear" w:color="auto" w:fill="auto"/>
            <w:vAlign w:val="center"/>
          </w:tcPr>
          <w:p w14:paraId="208371E6"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6DB55A92"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7.6. Predprojektová príprava  </w:t>
            </w:r>
          </w:p>
        </w:tc>
        <w:tc>
          <w:tcPr>
            <w:tcW w:w="851" w:type="dxa"/>
            <w:shd w:val="clear" w:color="auto" w:fill="auto"/>
            <w:vAlign w:val="center"/>
          </w:tcPr>
          <w:p w14:paraId="616080F5"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t>N/A</w:t>
            </w:r>
          </w:p>
        </w:tc>
        <w:tc>
          <w:tcPr>
            <w:tcW w:w="1276" w:type="dxa"/>
            <w:shd w:val="clear" w:color="auto" w:fill="auto"/>
            <w:vAlign w:val="center"/>
          </w:tcPr>
          <w:p w14:paraId="4E4022D3"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35 172 500</w:t>
            </w:r>
          </w:p>
        </w:tc>
        <w:tc>
          <w:tcPr>
            <w:tcW w:w="1134" w:type="dxa"/>
            <w:shd w:val="clear" w:color="auto" w:fill="auto"/>
            <w:vAlign w:val="center"/>
          </w:tcPr>
          <w:p w14:paraId="0D84E11B" w14:textId="77777777" w:rsidR="00D86668" w:rsidRPr="00595DFC" w:rsidRDefault="00D86668" w:rsidP="00C11675">
            <w:pPr>
              <w:jc w:val="right"/>
              <w:rPr>
                <w:rFonts w:ascii="Arial Narrow" w:hAnsi="Arial Narrow" w:cs="Calibri"/>
                <w:sz w:val="20"/>
                <w:szCs w:val="20"/>
              </w:rPr>
            </w:pPr>
            <w:r>
              <w:rPr>
                <w:rFonts w:ascii="Arial Narrow" w:hAnsi="Arial Narrow" w:cs="Calibri"/>
                <w:sz w:val="20"/>
                <w:szCs w:val="20"/>
              </w:rPr>
              <w:t>- 6 172 500</w:t>
            </w:r>
          </w:p>
        </w:tc>
        <w:tc>
          <w:tcPr>
            <w:tcW w:w="1275" w:type="dxa"/>
            <w:shd w:val="clear" w:color="auto" w:fill="auto"/>
            <w:vAlign w:val="center"/>
          </w:tcPr>
          <w:p w14:paraId="3DBC843A" w14:textId="77777777" w:rsidR="00D86668" w:rsidRPr="006A5E5C" w:rsidRDefault="00D86668" w:rsidP="00C11675">
            <w:pPr>
              <w:jc w:val="right"/>
              <w:rPr>
                <w:rFonts w:ascii="Calibri" w:hAnsi="Calibri" w:cs="Calibri"/>
              </w:rPr>
            </w:pPr>
            <w:r>
              <w:rPr>
                <w:rFonts w:ascii="Arial Narrow" w:hAnsi="Arial Narrow" w:cs="Calibri"/>
                <w:sz w:val="20"/>
                <w:szCs w:val="20"/>
              </w:rPr>
              <w:t>29 000 000</w:t>
            </w:r>
          </w:p>
        </w:tc>
        <w:tc>
          <w:tcPr>
            <w:tcW w:w="2694" w:type="dxa"/>
          </w:tcPr>
          <w:p w14:paraId="0429807D" w14:textId="77777777" w:rsidR="00D86668" w:rsidRPr="006A5E5C" w:rsidRDefault="00D86668" w:rsidP="00C11675">
            <w:pPr>
              <w:rPr>
                <w:rFonts w:ascii="Arial Narrow" w:hAnsi="Arial Narrow" w:cs="Calibri"/>
                <w:sz w:val="20"/>
                <w:szCs w:val="20"/>
              </w:rPr>
            </w:pPr>
            <w:r>
              <w:rPr>
                <w:rFonts w:ascii="Arial Narrow" w:hAnsi="Arial Narrow" w:cs="Calibri"/>
                <w:sz w:val="20"/>
                <w:szCs w:val="20"/>
              </w:rPr>
              <w:t xml:space="preserve">Zníženie alokácie z prvej </w:t>
            </w:r>
            <w:proofErr w:type="spellStart"/>
            <w:r>
              <w:rPr>
                <w:rFonts w:ascii="Arial Narrow" w:hAnsi="Arial Narrow" w:cs="Calibri"/>
                <w:sz w:val="20"/>
                <w:szCs w:val="20"/>
              </w:rPr>
              <w:t>tranže</w:t>
            </w:r>
            <w:proofErr w:type="spellEnd"/>
            <w:r>
              <w:rPr>
                <w:rFonts w:ascii="Arial Narrow" w:hAnsi="Arial Narrow" w:cs="Calibri"/>
                <w:sz w:val="20"/>
                <w:szCs w:val="20"/>
              </w:rPr>
              <w:t xml:space="preserve"> o 6 172 500 Eur a presun do ŠC 7.8 na finančné nástroje </w:t>
            </w:r>
          </w:p>
        </w:tc>
      </w:tr>
      <w:tr w:rsidR="00D86668" w:rsidRPr="005A2ED3" w14:paraId="51D87A72" w14:textId="77777777" w:rsidTr="00D86668">
        <w:tc>
          <w:tcPr>
            <w:tcW w:w="1129" w:type="dxa"/>
            <w:vMerge/>
            <w:shd w:val="clear" w:color="auto" w:fill="auto"/>
            <w:vAlign w:val="center"/>
          </w:tcPr>
          <w:p w14:paraId="05B8E686"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21705269"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7.7. Podpora </w:t>
            </w:r>
            <w:r w:rsidRPr="000F0A0D">
              <w:rPr>
                <w:rFonts w:ascii="Arial Narrow" w:hAnsi="Arial Narrow" w:cs="Calibri"/>
                <w:sz w:val="20"/>
                <w:szCs w:val="20"/>
              </w:rPr>
              <w:lastRenderedPageBreak/>
              <w:t>udržateľnosti a odolnosti kultúrnych inštitúcii</w:t>
            </w:r>
          </w:p>
        </w:tc>
        <w:tc>
          <w:tcPr>
            <w:tcW w:w="851" w:type="dxa"/>
            <w:shd w:val="clear" w:color="auto" w:fill="auto"/>
            <w:vAlign w:val="center"/>
          </w:tcPr>
          <w:p w14:paraId="6D1654AB" w14:textId="77777777" w:rsidR="00D86668" w:rsidRPr="002C4187" w:rsidRDefault="00D86668" w:rsidP="00C11675">
            <w:pPr>
              <w:jc w:val="center"/>
              <w:rPr>
                <w:rFonts w:ascii="Arial Narrow" w:hAnsi="Arial Narrow" w:cs="Calibri"/>
                <w:b/>
                <w:bCs/>
                <w:color w:val="000000"/>
                <w:sz w:val="20"/>
                <w:szCs w:val="20"/>
              </w:rPr>
            </w:pPr>
            <w:r w:rsidRPr="00662792">
              <w:rPr>
                <w:rFonts w:ascii="Arial Narrow" w:hAnsi="Arial Narrow" w:cs="Calibri"/>
                <w:bCs/>
                <w:color w:val="000000"/>
                <w:sz w:val="20"/>
                <w:szCs w:val="20"/>
              </w:rPr>
              <w:lastRenderedPageBreak/>
              <w:t>N/A</w:t>
            </w:r>
          </w:p>
        </w:tc>
        <w:tc>
          <w:tcPr>
            <w:tcW w:w="1276" w:type="dxa"/>
            <w:shd w:val="clear" w:color="auto" w:fill="auto"/>
            <w:vAlign w:val="center"/>
          </w:tcPr>
          <w:p w14:paraId="0CBB0BC0"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14 850</w:t>
            </w:r>
            <w:r>
              <w:rPr>
                <w:rFonts w:ascii="Arial Narrow" w:hAnsi="Arial Narrow" w:cs="Calibri"/>
                <w:sz w:val="20"/>
                <w:szCs w:val="20"/>
              </w:rPr>
              <w:t> </w:t>
            </w:r>
            <w:r w:rsidRPr="00063E86">
              <w:rPr>
                <w:rFonts w:ascii="Arial Narrow" w:hAnsi="Arial Narrow" w:cs="Calibri"/>
                <w:sz w:val="20"/>
                <w:szCs w:val="20"/>
              </w:rPr>
              <w:t>600</w:t>
            </w:r>
          </w:p>
        </w:tc>
        <w:tc>
          <w:tcPr>
            <w:tcW w:w="1134" w:type="dxa"/>
            <w:shd w:val="clear" w:color="auto" w:fill="auto"/>
            <w:vAlign w:val="center"/>
          </w:tcPr>
          <w:p w14:paraId="7EBE8051" w14:textId="77777777" w:rsidR="00D86668" w:rsidRPr="006A5E5C" w:rsidRDefault="00D86668" w:rsidP="00C11675">
            <w:pPr>
              <w:jc w:val="right"/>
              <w:rPr>
                <w:rFonts w:ascii="Calibri" w:hAnsi="Calibri" w:cs="Calibri"/>
                <w:color w:val="000000"/>
              </w:rPr>
            </w:pPr>
            <w:r>
              <w:rPr>
                <w:rFonts w:ascii="Arial Narrow" w:hAnsi="Arial Narrow" w:cs="Calibri"/>
                <w:sz w:val="20"/>
                <w:szCs w:val="20"/>
              </w:rPr>
              <w:t>0</w:t>
            </w:r>
          </w:p>
        </w:tc>
        <w:tc>
          <w:tcPr>
            <w:tcW w:w="1275" w:type="dxa"/>
            <w:shd w:val="clear" w:color="auto" w:fill="auto"/>
            <w:vAlign w:val="center"/>
          </w:tcPr>
          <w:p w14:paraId="6D4D8CC6" w14:textId="77777777" w:rsidR="00D86668" w:rsidRPr="00007ED2" w:rsidRDefault="00D86668" w:rsidP="00C11675">
            <w:pPr>
              <w:jc w:val="right"/>
              <w:rPr>
                <w:rFonts w:ascii="Calibri" w:hAnsi="Calibri" w:cs="Calibri"/>
              </w:rPr>
            </w:pPr>
            <w:r w:rsidRPr="00063E86">
              <w:rPr>
                <w:rFonts w:ascii="Arial Narrow" w:hAnsi="Arial Narrow" w:cs="Calibri"/>
                <w:sz w:val="20"/>
                <w:szCs w:val="20"/>
              </w:rPr>
              <w:t>14 850</w:t>
            </w:r>
            <w:r>
              <w:rPr>
                <w:rFonts w:ascii="Arial Narrow" w:hAnsi="Arial Narrow" w:cs="Calibri"/>
                <w:sz w:val="20"/>
                <w:szCs w:val="20"/>
              </w:rPr>
              <w:t> </w:t>
            </w:r>
            <w:r w:rsidRPr="00063E86">
              <w:rPr>
                <w:rFonts w:ascii="Arial Narrow" w:hAnsi="Arial Narrow" w:cs="Calibri"/>
                <w:sz w:val="20"/>
                <w:szCs w:val="20"/>
              </w:rPr>
              <w:t>600</w:t>
            </w:r>
            <w:r>
              <w:rPr>
                <w:rFonts w:ascii="Calibri" w:hAnsi="Calibri" w:cs="Calibri"/>
              </w:rPr>
              <w:t xml:space="preserve">   </w:t>
            </w:r>
          </w:p>
        </w:tc>
        <w:tc>
          <w:tcPr>
            <w:tcW w:w="2694" w:type="dxa"/>
          </w:tcPr>
          <w:p w14:paraId="531E70C1" w14:textId="77777777" w:rsidR="00D86668" w:rsidRPr="00007ED2" w:rsidRDefault="00D86668" w:rsidP="00C11675">
            <w:pPr>
              <w:rPr>
                <w:rFonts w:ascii="Arial Narrow" w:hAnsi="Arial Narrow" w:cs="Calibri"/>
                <w:sz w:val="20"/>
                <w:szCs w:val="20"/>
              </w:rPr>
            </w:pPr>
          </w:p>
        </w:tc>
      </w:tr>
      <w:tr w:rsidR="00D86668" w:rsidRPr="005A2ED3" w14:paraId="69ED797E" w14:textId="77777777" w:rsidTr="00D86668">
        <w:tc>
          <w:tcPr>
            <w:tcW w:w="1129" w:type="dxa"/>
            <w:vMerge/>
            <w:shd w:val="clear" w:color="auto" w:fill="auto"/>
            <w:vAlign w:val="center"/>
          </w:tcPr>
          <w:p w14:paraId="78DE5B8D" w14:textId="77777777" w:rsidR="00D86668"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056B1EE5"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7.8. </w:t>
            </w:r>
            <w:r w:rsidRPr="000F0A0D">
              <w:rPr>
                <w:rFonts w:ascii="Arial Narrow" w:hAnsi="Arial Narrow" w:cs="Calibri"/>
                <w:iCs/>
                <w:sz w:val="20"/>
                <w:szCs w:val="20"/>
              </w:rPr>
              <w:t>Zvýšenie energetickej efektívnosti bytových domov</w:t>
            </w:r>
          </w:p>
        </w:tc>
        <w:tc>
          <w:tcPr>
            <w:tcW w:w="851" w:type="dxa"/>
            <w:shd w:val="clear" w:color="auto" w:fill="auto"/>
            <w:vAlign w:val="center"/>
          </w:tcPr>
          <w:p w14:paraId="798CF59A" w14:textId="77777777" w:rsidR="00D86668" w:rsidRPr="002C4187" w:rsidRDefault="00D86668" w:rsidP="00C11675">
            <w:pPr>
              <w:jc w:val="center"/>
              <w:rPr>
                <w:rFonts w:ascii="Arial Narrow" w:hAnsi="Arial Narrow" w:cs="Calibri"/>
                <w:b/>
                <w:bCs/>
                <w:color w:val="000000"/>
                <w:sz w:val="20"/>
                <w:szCs w:val="20"/>
              </w:rPr>
            </w:pPr>
            <w:r w:rsidRPr="00096DCD">
              <w:rPr>
                <w:rFonts w:ascii="Arial Narrow" w:hAnsi="Arial Narrow" w:cs="Calibri"/>
                <w:bCs/>
                <w:color w:val="000000"/>
                <w:sz w:val="20"/>
                <w:szCs w:val="20"/>
              </w:rPr>
              <w:t>N/A</w:t>
            </w:r>
          </w:p>
        </w:tc>
        <w:tc>
          <w:tcPr>
            <w:tcW w:w="1276" w:type="dxa"/>
            <w:shd w:val="clear" w:color="auto" w:fill="auto"/>
            <w:vAlign w:val="center"/>
          </w:tcPr>
          <w:p w14:paraId="2FB720EA"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38 049</w:t>
            </w:r>
            <w:r>
              <w:rPr>
                <w:rFonts w:ascii="Arial Narrow" w:hAnsi="Arial Narrow" w:cs="Calibri"/>
                <w:sz w:val="20"/>
                <w:szCs w:val="20"/>
              </w:rPr>
              <w:t> </w:t>
            </w:r>
            <w:r w:rsidRPr="00063E86">
              <w:rPr>
                <w:rFonts w:ascii="Arial Narrow" w:hAnsi="Arial Narrow" w:cs="Calibri"/>
                <w:sz w:val="20"/>
                <w:szCs w:val="20"/>
              </w:rPr>
              <w:t>999</w:t>
            </w:r>
          </w:p>
        </w:tc>
        <w:tc>
          <w:tcPr>
            <w:tcW w:w="1134" w:type="dxa"/>
            <w:shd w:val="clear" w:color="auto" w:fill="auto"/>
            <w:vAlign w:val="center"/>
          </w:tcPr>
          <w:p w14:paraId="1DBA268C" w14:textId="170D3128" w:rsidR="00D86668" w:rsidRPr="00102D3B" w:rsidRDefault="00D86668" w:rsidP="00361F79">
            <w:pPr>
              <w:jc w:val="right"/>
              <w:rPr>
                <w:rFonts w:ascii="Arial Narrow" w:hAnsi="Arial Narrow" w:cs="Calibri"/>
                <w:sz w:val="20"/>
                <w:szCs w:val="20"/>
              </w:rPr>
            </w:pPr>
            <w:r w:rsidRPr="00733959">
              <w:rPr>
                <w:rFonts w:ascii="Arial Narrow" w:hAnsi="Arial Narrow" w:cs="Calibri"/>
                <w:sz w:val="20"/>
                <w:szCs w:val="20"/>
              </w:rPr>
              <w:t>9 750</w:t>
            </w:r>
            <w:r>
              <w:rPr>
                <w:rFonts w:ascii="Arial Narrow" w:hAnsi="Arial Narrow" w:cs="Calibri"/>
                <w:sz w:val="20"/>
                <w:szCs w:val="20"/>
              </w:rPr>
              <w:t> </w:t>
            </w:r>
            <w:r w:rsidRPr="00733959">
              <w:rPr>
                <w:rFonts w:ascii="Arial Narrow" w:hAnsi="Arial Narrow" w:cs="Calibri"/>
                <w:sz w:val="20"/>
                <w:szCs w:val="20"/>
              </w:rPr>
              <w:t>001</w:t>
            </w:r>
            <w:r>
              <w:rPr>
                <w:rFonts w:ascii="Arial Narrow" w:hAnsi="Arial Narrow" w:cs="Calibri"/>
                <w:sz w:val="20"/>
                <w:szCs w:val="20"/>
              </w:rPr>
              <w:t> </w:t>
            </w:r>
          </w:p>
        </w:tc>
        <w:tc>
          <w:tcPr>
            <w:tcW w:w="1275" w:type="dxa"/>
            <w:shd w:val="clear" w:color="auto" w:fill="auto"/>
            <w:vAlign w:val="center"/>
          </w:tcPr>
          <w:p w14:paraId="0965852E" w14:textId="77777777" w:rsidR="00D86668" w:rsidRPr="00007ED2" w:rsidRDefault="00D86668" w:rsidP="00C11675">
            <w:pPr>
              <w:jc w:val="right"/>
              <w:rPr>
                <w:rFonts w:ascii="Calibri" w:hAnsi="Calibri" w:cs="Calibri"/>
              </w:rPr>
            </w:pPr>
            <w:r w:rsidRPr="00007ED2">
              <w:rPr>
                <w:rFonts w:ascii="Arial Narrow" w:hAnsi="Arial Narrow" w:cs="Calibri"/>
                <w:sz w:val="20"/>
                <w:szCs w:val="20"/>
              </w:rPr>
              <w:t>47 800 000</w:t>
            </w:r>
            <w:r>
              <w:rPr>
                <w:rFonts w:ascii="Calibri" w:hAnsi="Calibri" w:cs="Calibri"/>
              </w:rPr>
              <w:t xml:space="preserve">   </w:t>
            </w:r>
          </w:p>
        </w:tc>
        <w:tc>
          <w:tcPr>
            <w:tcW w:w="2694" w:type="dxa"/>
          </w:tcPr>
          <w:p w14:paraId="16B2F1A8" w14:textId="77777777" w:rsidR="00D86668" w:rsidRPr="00007ED2" w:rsidRDefault="00D86668" w:rsidP="00C11675">
            <w:pPr>
              <w:rPr>
                <w:rFonts w:ascii="Arial Narrow" w:hAnsi="Arial Narrow" w:cs="Calibri"/>
                <w:sz w:val="20"/>
                <w:szCs w:val="20"/>
              </w:rPr>
            </w:pPr>
            <w:r>
              <w:rPr>
                <w:rFonts w:ascii="Arial Narrow" w:hAnsi="Arial Narrow" w:cs="Calibri"/>
                <w:sz w:val="20"/>
                <w:szCs w:val="20"/>
              </w:rPr>
              <w:t xml:space="preserve">Presun alokácie zo ŠC 7.6 o 6 172 500 a pridelenie alokácie druhej </w:t>
            </w:r>
            <w:proofErr w:type="spellStart"/>
            <w:r>
              <w:rPr>
                <w:rFonts w:ascii="Arial Narrow" w:hAnsi="Arial Narrow" w:cs="Calibri"/>
                <w:sz w:val="20"/>
                <w:szCs w:val="20"/>
              </w:rPr>
              <w:t>tranže</w:t>
            </w:r>
            <w:proofErr w:type="spellEnd"/>
            <w:r>
              <w:rPr>
                <w:rFonts w:ascii="Arial Narrow" w:hAnsi="Arial Narrow" w:cs="Calibri"/>
                <w:sz w:val="20"/>
                <w:szCs w:val="20"/>
              </w:rPr>
              <w:t xml:space="preserve"> o  3 577 501 Eur </w:t>
            </w:r>
          </w:p>
        </w:tc>
      </w:tr>
      <w:tr w:rsidR="00D86668" w:rsidRPr="005A2ED3" w14:paraId="6B06D2B4" w14:textId="77777777" w:rsidTr="00D86668">
        <w:tc>
          <w:tcPr>
            <w:tcW w:w="1129" w:type="dxa"/>
            <w:vMerge/>
            <w:shd w:val="clear" w:color="auto" w:fill="auto"/>
            <w:vAlign w:val="center"/>
          </w:tcPr>
          <w:p w14:paraId="565AD135" w14:textId="77777777" w:rsidR="00D86668" w:rsidRPr="002C4187" w:rsidRDefault="00D86668" w:rsidP="00C11675">
            <w:pPr>
              <w:jc w:val="center"/>
              <w:rPr>
                <w:rFonts w:ascii="Arial Narrow" w:hAnsi="Arial Narrow" w:cs="Calibri"/>
                <w:b/>
                <w:bCs/>
                <w:color w:val="000000"/>
                <w:sz w:val="20"/>
                <w:szCs w:val="20"/>
              </w:rPr>
            </w:pPr>
          </w:p>
        </w:tc>
        <w:tc>
          <w:tcPr>
            <w:tcW w:w="1701" w:type="dxa"/>
            <w:shd w:val="clear" w:color="auto" w:fill="B6DDE8" w:themeFill="accent5" w:themeFillTint="66"/>
            <w:vAlign w:val="center"/>
          </w:tcPr>
          <w:p w14:paraId="7518B073" w14:textId="77777777" w:rsidR="00D86668" w:rsidRPr="005A2ED3" w:rsidRDefault="00D86668" w:rsidP="00C11675">
            <w:pPr>
              <w:rPr>
                <w:rFonts w:ascii="Arial Narrow" w:hAnsi="Arial Narrow" w:cs="Calibri"/>
                <w:b/>
                <w:bCs/>
                <w:color w:val="000000"/>
                <w:sz w:val="20"/>
                <w:szCs w:val="20"/>
              </w:rPr>
            </w:pPr>
            <w:r>
              <w:rPr>
                <w:rFonts w:ascii="Arial Narrow" w:hAnsi="Arial Narrow" w:cs="Calibri"/>
                <w:b/>
                <w:bCs/>
                <w:color w:val="000000"/>
                <w:sz w:val="20"/>
                <w:szCs w:val="20"/>
              </w:rPr>
              <w:t>Spolu za PO</w:t>
            </w:r>
          </w:p>
        </w:tc>
        <w:tc>
          <w:tcPr>
            <w:tcW w:w="851" w:type="dxa"/>
            <w:shd w:val="clear" w:color="auto" w:fill="B6DDE8" w:themeFill="accent5" w:themeFillTint="66"/>
            <w:vAlign w:val="center"/>
          </w:tcPr>
          <w:p w14:paraId="4F360F95" w14:textId="77777777" w:rsidR="00D86668" w:rsidRPr="002C4187" w:rsidRDefault="00D86668" w:rsidP="00C11675">
            <w:pPr>
              <w:jc w:val="center"/>
              <w:rPr>
                <w:rFonts w:ascii="Arial Narrow" w:hAnsi="Arial Narrow" w:cs="Calibri"/>
                <w:b/>
                <w:bCs/>
                <w:color w:val="000000"/>
                <w:sz w:val="20"/>
                <w:szCs w:val="20"/>
              </w:rPr>
            </w:pPr>
          </w:p>
        </w:tc>
        <w:tc>
          <w:tcPr>
            <w:tcW w:w="1276" w:type="dxa"/>
            <w:shd w:val="clear" w:color="auto" w:fill="B6DDE8" w:themeFill="accent5" w:themeFillTint="66"/>
            <w:vAlign w:val="center"/>
          </w:tcPr>
          <w:p w14:paraId="68009EDE"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188 900 994</w:t>
            </w:r>
          </w:p>
        </w:tc>
        <w:tc>
          <w:tcPr>
            <w:tcW w:w="1134" w:type="dxa"/>
            <w:shd w:val="clear" w:color="auto" w:fill="B6DDE8" w:themeFill="accent5" w:themeFillTint="66"/>
            <w:vAlign w:val="center"/>
          </w:tcPr>
          <w:p w14:paraId="7ADB9F62" w14:textId="77777777" w:rsidR="00D86668" w:rsidRPr="00177252" w:rsidRDefault="00D86668" w:rsidP="00C11675">
            <w:pPr>
              <w:jc w:val="right"/>
              <w:rPr>
                <w:rFonts w:ascii="Arial Narrow" w:hAnsi="Arial Narrow" w:cs="Calibri"/>
                <w:sz w:val="20"/>
                <w:szCs w:val="20"/>
              </w:rPr>
            </w:pPr>
            <w:r w:rsidRPr="0007098E">
              <w:rPr>
                <w:rFonts w:ascii="Arial Narrow" w:hAnsi="Arial Narrow" w:cs="Calibri"/>
                <w:sz w:val="20"/>
                <w:szCs w:val="20"/>
              </w:rPr>
              <w:t>39 581 990</w:t>
            </w:r>
          </w:p>
        </w:tc>
        <w:tc>
          <w:tcPr>
            <w:tcW w:w="1275" w:type="dxa"/>
            <w:shd w:val="clear" w:color="auto" w:fill="B6DDE8" w:themeFill="accent5" w:themeFillTint="66"/>
            <w:vAlign w:val="center"/>
          </w:tcPr>
          <w:p w14:paraId="567E72A7" w14:textId="77777777" w:rsidR="00D86668" w:rsidRPr="00177252" w:rsidRDefault="00D86668" w:rsidP="00C11675">
            <w:pPr>
              <w:jc w:val="right"/>
              <w:rPr>
                <w:rFonts w:ascii="Arial Narrow" w:hAnsi="Arial Narrow" w:cs="Calibri"/>
                <w:sz w:val="20"/>
                <w:szCs w:val="20"/>
              </w:rPr>
            </w:pPr>
            <w:r w:rsidRPr="0007098E">
              <w:rPr>
                <w:rFonts w:ascii="Arial Narrow" w:hAnsi="Arial Narrow" w:cs="Calibri"/>
                <w:sz w:val="20"/>
                <w:szCs w:val="20"/>
              </w:rPr>
              <w:t>228 482 984</w:t>
            </w:r>
          </w:p>
        </w:tc>
        <w:tc>
          <w:tcPr>
            <w:tcW w:w="2694" w:type="dxa"/>
            <w:shd w:val="clear" w:color="auto" w:fill="B6DDE8" w:themeFill="accent5" w:themeFillTint="66"/>
          </w:tcPr>
          <w:p w14:paraId="4C015AD7" w14:textId="77777777" w:rsidR="00D86668" w:rsidRPr="00007ED2" w:rsidRDefault="00D86668" w:rsidP="00C11675">
            <w:pPr>
              <w:rPr>
                <w:rFonts w:ascii="Arial Narrow" w:hAnsi="Arial Narrow" w:cs="Calibri"/>
                <w:sz w:val="20"/>
                <w:szCs w:val="20"/>
              </w:rPr>
            </w:pPr>
          </w:p>
        </w:tc>
      </w:tr>
      <w:tr w:rsidR="00D86668" w:rsidRPr="005A2ED3" w14:paraId="15F27894" w14:textId="77777777" w:rsidTr="00D86668">
        <w:tc>
          <w:tcPr>
            <w:tcW w:w="1129" w:type="dxa"/>
            <w:vMerge w:val="restart"/>
            <w:shd w:val="clear" w:color="auto" w:fill="auto"/>
            <w:vAlign w:val="center"/>
          </w:tcPr>
          <w:p w14:paraId="7FCE331B" w14:textId="77777777" w:rsidR="00D86668" w:rsidRDefault="00D86668" w:rsidP="00C11675">
            <w:pPr>
              <w:jc w:val="center"/>
              <w:rPr>
                <w:rFonts w:ascii="Arial Narrow" w:hAnsi="Arial Narrow" w:cs="Calibri"/>
                <w:b/>
                <w:bCs/>
                <w:color w:val="000000"/>
                <w:sz w:val="20"/>
                <w:szCs w:val="20"/>
              </w:rPr>
            </w:pPr>
            <w:r>
              <w:rPr>
                <w:rFonts w:ascii="Arial Narrow" w:hAnsi="Arial Narrow" w:cs="Calibri"/>
                <w:b/>
                <w:bCs/>
                <w:color w:val="000000"/>
                <w:sz w:val="20"/>
                <w:szCs w:val="20"/>
              </w:rPr>
              <w:t>8.</w:t>
            </w:r>
          </w:p>
          <w:p w14:paraId="248B8C6B" w14:textId="77777777" w:rsidR="00D86668" w:rsidRPr="002C4187" w:rsidRDefault="00D86668" w:rsidP="00C11675">
            <w:pPr>
              <w:jc w:val="center"/>
              <w:rPr>
                <w:rFonts w:ascii="Arial Narrow" w:hAnsi="Arial Narrow" w:cs="Calibri"/>
                <w:b/>
                <w:bCs/>
                <w:color w:val="000000"/>
                <w:sz w:val="20"/>
                <w:szCs w:val="20"/>
              </w:rPr>
            </w:pPr>
            <w:r>
              <w:rPr>
                <w:rFonts w:ascii="Arial Narrow" w:hAnsi="Arial Narrow" w:cs="Calibri"/>
                <w:b/>
                <w:bCs/>
                <w:color w:val="000000"/>
                <w:sz w:val="20"/>
                <w:szCs w:val="20"/>
              </w:rPr>
              <w:t>Technická pomoc – REACT-EÚ</w:t>
            </w:r>
          </w:p>
        </w:tc>
        <w:tc>
          <w:tcPr>
            <w:tcW w:w="1701" w:type="dxa"/>
            <w:shd w:val="clear" w:color="auto" w:fill="auto"/>
            <w:vAlign w:val="center"/>
          </w:tcPr>
          <w:p w14:paraId="1896B738"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8.1. </w:t>
            </w:r>
            <w:r w:rsidRPr="000F0A0D">
              <w:rPr>
                <w:rFonts w:ascii="Arial Narrow" w:hAnsi="Arial Narrow" w:cs="Calibri"/>
                <w:iCs/>
                <w:sz w:val="20"/>
                <w:szCs w:val="20"/>
              </w:rPr>
              <w:t xml:space="preserve">Podpora vytvorenia regionálnych </w:t>
            </w:r>
            <w:r w:rsidRPr="008A6386">
              <w:rPr>
                <w:rFonts w:ascii="Arial Narrow" w:hAnsi="Arial Narrow" w:cs="Calibri"/>
                <w:iCs/>
                <w:sz w:val="20"/>
                <w:szCs w:val="20"/>
              </w:rPr>
              <w:t>štruktúr na programové obdobie 2021 - 2027</w:t>
            </w:r>
          </w:p>
        </w:tc>
        <w:tc>
          <w:tcPr>
            <w:tcW w:w="851" w:type="dxa"/>
            <w:shd w:val="clear" w:color="auto" w:fill="auto"/>
            <w:vAlign w:val="center"/>
          </w:tcPr>
          <w:p w14:paraId="68FFAAB8" w14:textId="77777777" w:rsidR="00D86668" w:rsidRPr="002C4187" w:rsidRDefault="00D86668" w:rsidP="00C11675">
            <w:pPr>
              <w:jc w:val="center"/>
              <w:rPr>
                <w:rFonts w:ascii="Arial Narrow" w:hAnsi="Arial Narrow" w:cs="Calibri"/>
                <w:b/>
                <w:bCs/>
                <w:color w:val="000000"/>
                <w:sz w:val="20"/>
                <w:szCs w:val="20"/>
              </w:rPr>
            </w:pPr>
            <w:r w:rsidRPr="00096DCD">
              <w:rPr>
                <w:rFonts w:ascii="Arial Narrow" w:hAnsi="Arial Narrow" w:cs="Calibri"/>
                <w:bCs/>
                <w:color w:val="000000"/>
                <w:sz w:val="20"/>
                <w:szCs w:val="20"/>
              </w:rPr>
              <w:t>N/A</w:t>
            </w:r>
          </w:p>
        </w:tc>
        <w:tc>
          <w:tcPr>
            <w:tcW w:w="1276" w:type="dxa"/>
            <w:shd w:val="clear" w:color="auto" w:fill="auto"/>
            <w:vAlign w:val="center"/>
          </w:tcPr>
          <w:p w14:paraId="33454AB5"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 xml:space="preserve">5 000 </w:t>
            </w:r>
            <w:r>
              <w:rPr>
                <w:rFonts w:ascii="Arial Narrow" w:hAnsi="Arial Narrow" w:cs="Calibri"/>
                <w:sz w:val="20"/>
                <w:szCs w:val="20"/>
              </w:rPr>
              <w:t>0</w:t>
            </w:r>
            <w:r w:rsidRPr="00063E86">
              <w:rPr>
                <w:rFonts w:ascii="Arial Narrow" w:hAnsi="Arial Narrow" w:cs="Calibri"/>
                <w:sz w:val="20"/>
                <w:szCs w:val="20"/>
              </w:rPr>
              <w:t>00</w:t>
            </w:r>
          </w:p>
        </w:tc>
        <w:tc>
          <w:tcPr>
            <w:tcW w:w="1134" w:type="dxa"/>
            <w:shd w:val="clear" w:color="auto" w:fill="auto"/>
            <w:vAlign w:val="center"/>
          </w:tcPr>
          <w:p w14:paraId="044FD0E2" w14:textId="77777777" w:rsidR="00D86668" w:rsidRPr="00177252" w:rsidRDefault="00D86668" w:rsidP="00C11675">
            <w:pPr>
              <w:jc w:val="right"/>
              <w:rPr>
                <w:rFonts w:ascii="Arial Narrow" w:hAnsi="Arial Narrow" w:cs="Calibri"/>
                <w:sz w:val="20"/>
                <w:szCs w:val="20"/>
              </w:rPr>
            </w:pPr>
            <w:r>
              <w:rPr>
                <w:rFonts w:ascii="Arial Narrow" w:hAnsi="Arial Narrow" w:cs="Calibri"/>
                <w:sz w:val="20"/>
                <w:szCs w:val="20"/>
              </w:rPr>
              <w:t>0</w:t>
            </w:r>
          </w:p>
        </w:tc>
        <w:tc>
          <w:tcPr>
            <w:tcW w:w="1275" w:type="dxa"/>
            <w:shd w:val="clear" w:color="auto" w:fill="auto"/>
            <w:vAlign w:val="center"/>
          </w:tcPr>
          <w:p w14:paraId="050D1A63" w14:textId="77777777" w:rsidR="00D86668" w:rsidRPr="00177252" w:rsidRDefault="00D86668" w:rsidP="00C11675">
            <w:pPr>
              <w:jc w:val="right"/>
              <w:rPr>
                <w:rFonts w:ascii="Arial Narrow" w:hAnsi="Arial Narrow" w:cs="Calibri"/>
                <w:sz w:val="20"/>
                <w:szCs w:val="20"/>
              </w:rPr>
            </w:pPr>
            <w:r>
              <w:rPr>
                <w:rFonts w:ascii="Arial Narrow" w:hAnsi="Arial Narrow" w:cs="Calibri"/>
                <w:sz w:val="20"/>
                <w:szCs w:val="20"/>
              </w:rPr>
              <w:t>5 000 000</w:t>
            </w:r>
          </w:p>
        </w:tc>
        <w:tc>
          <w:tcPr>
            <w:tcW w:w="2694" w:type="dxa"/>
          </w:tcPr>
          <w:p w14:paraId="62BA08DA" w14:textId="77777777" w:rsidR="00D86668" w:rsidRPr="00177252" w:rsidRDefault="00D86668" w:rsidP="00C11675">
            <w:pPr>
              <w:rPr>
                <w:rFonts w:ascii="Arial Narrow" w:hAnsi="Arial Narrow" w:cs="Calibri"/>
                <w:sz w:val="20"/>
                <w:szCs w:val="20"/>
              </w:rPr>
            </w:pPr>
          </w:p>
        </w:tc>
      </w:tr>
      <w:tr w:rsidR="00D86668" w:rsidRPr="005A2ED3" w14:paraId="71D07C26" w14:textId="77777777" w:rsidTr="00D86668">
        <w:tc>
          <w:tcPr>
            <w:tcW w:w="1129" w:type="dxa"/>
            <w:vMerge/>
            <w:shd w:val="clear" w:color="auto" w:fill="auto"/>
            <w:vAlign w:val="center"/>
          </w:tcPr>
          <w:p w14:paraId="12087007" w14:textId="77777777" w:rsidR="00D86668" w:rsidRPr="002C4187" w:rsidRDefault="00D86668" w:rsidP="00C11675">
            <w:pPr>
              <w:jc w:val="center"/>
              <w:rPr>
                <w:rFonts w:ascii="Arial Narrow" w:hAnsi="Arial Narrow" w:cs="Calibri"/>
                <w:b/>
                <w:bCs/>
                <w:color w:val="000000"/>
                <w:sz w:val="20"/>
                <w:szCs w:val="20"/>
              </w:rPr>
            </w:pPr>
          </w:p>
        </w:tc>
        <w:tc>
          <w:tcPr>
            <w:tcW w:w="1701" w:type="dxa"/>
            <w:shd w:val="clear" w:color="auto" w:fill="auto"/>
            <w:vAlign w:val="center"/>
          </w:tcPr>
          <w:p w14:paraId="68BE811A" w14:textId="77777777" w:rsidR="00D86668" w:rsidRPr="000F0A0D" w:rsidRDefault="00D86668" w:rsidP="00C11675">
            <w:pPr>
              <w:rPr>
                <w:rFonts w:ascii="Arial Narrow" w:hAnsi="Arial Narrow" w:cs="Calibri"/>
                <w:sz w:val="20"/>
                <w:szCs w:val="20"/>
              </w:rPr>
            </w:pPr>
            <w:r w:rsidRPr="000F0A0D">
              <w:rPr>
                <w:rFonts w:ascii="Arial Narrow" w:hAnsi="Arial Narrow" w:cs="Calibri"/>
                <w:sz w:val="20"/>
                <w:szCs w:val="20"/>
              </w:rPr>
              <w:t xml:space="preserve">8.2. </w:t>
            </w:r>
            <w:r w:rsidRPr="000F0A0D">
              <w:rPr>
                <w:rFonts w:ascii="Arial Narrow" w:hAnsi="Arial Narrow" w:cs="Calibri"/>
                <w:iCs/>
                <w:sz w:val="20"/>
                <w:szCs w:val="20"/>
              </w:rPr>
              <w:t xml:space="preserve">Podpora existujúcich </w:t>
            </w:r>
            <w:r>
              <w:rPr>
                <w:rFonts w:ascii="Arial Narrow" w:hAnsi="Arial Narrow" w:cs="Calibri"/>
                <w:iCs/>
                <w:sz w:val="20"/>
                <w:szCs w:val="20"/>
              </w:rPr>
              <w:t>RO/</w:t>
            </w:r>
            <w:r w:rsidRPr="000F0A0D">
              <w:rPr>
                <w:rFonts w:ascii="Arial Narrow" w:hAnsi="Arial Narrow" w:cs="Calibri"/>
                <w:iCs/>
                <w:sz w:val="20"/>
                <w:szCs w:val="20"/>
              </w:rPr>
              <w:t xml:space="preserve">SO </w:t>
            </w:r>
            <w:r>
              <w:rPr>
                <w:rFonts w:ascii="Arial Narrow" w:hAnsi="Arial Narrow" w:cs="Calibri"/>
                <w:iCs/>
                <w:sz w:val="20"/>
                <w:szCs w:val="20"/>
              </w:rPr>
              <w:t>pre IROP pri implementácii REACT</w:t>
            </w:r>
            <w:r w:rsidRPr="000F0A0D">
              <w:rPr>
                <w:rFonts w:ascii="Arial Narrow" w:hAnsi="Arial Narrow" w:cs="Calibri"/>
                <w:iCs/>
                <w:sz w:val="20"/>
                <w:szCs w:val="20"/>
              </w:rPr>
              <w:t>-EÚ</w:t>
            </w:r>
          </w:p>
        </w:tc>
        <w:tc>
          <w:tcPr>
            <w:tcW w:w="851" w:type="dxa"/>
            <w:shd w:val="clear" w:color="auto" w:fill="auto"/>
            <w:vAlign w:val="center"/>
          </w:tcPr>
          <w:p w14:paraId="6F6BA400" w14:textId="77777777" w:rsidR="00D86668" w:rsidRPr="002C4187" w:rsidRDefault="00D86668" w:rsidP="00C11675">
            <w:pPr>
              <w:jc w:val="center"/>
              <w:rPr>
                <w:rFonts w:ascii="Arial Narrow" w:hAnsi="Arial Narrow" w:cs="Calibri"/>
                <w:b/>
                <w:bCs/>
                <w:color w:val="000000"/>
                <w:sz w:val="20"/>
                <w:szCs w:val="20"/>
              </w:rPr>
            </w:pPr>
            <w:r w:rsidRPr="00096DCD">
              <w:rPr>
                <w:rFonts w:ascii="Arial Narrow" w:hAnsi="Arial Narrow" w:cs="Calibri"/>
                <w:bCs/>
                <w:color w:val="000000"/>
                <w:sz w:val="20"/>
                <w:szCs w:val="20"/>
              </w:rPr>
              <w:t>N/A</w:t>
            </w:r>
          </w:p>
        </w:tc>
        <w:tc>
          <w:tcPr>
            <w:tcW w:w="1276" w:type="dxa"/>
            <w:shd w:val="clear" w:color="auto" w:fill="auto"/>
            <w:vAlign w:val="center"/>
          </w:tcPr>
          <w:p w14:paraId="0F7F80E0" w14:textId="77777777" w:rsidR="00D86668" w:rsidRPr="00063E86" w:rsidRDefault="00D86668" w:rsidP="00C11675">
            <w:pPr>
              <w:jc w:val="right"/>
              <w:rPr>
                <w:rFonts w:ascii="Arial Narrow" w:hAnsi="Arial Narrow" w:cs="Calibri"/>
                <w:sz w:val="20"/>
                <w:szCs w:val="20"/>
              </w:rPr>
            </w:pPr>
            <w:r w:rsidRPr="00063E86">
              <w:rPr>
                <w:rFonts w:ascii="Arial Narrow" w:hAnsi="Arial Narrow" w:cs="Calibri"/>
                <w:sz w:val="20"/>
                <w:szCs w:val="20"/>
              </w:rPr>
              <w:t>1 000 000</w:t>
            </w:r>
          </w:p>
        </w:tc>
        <w:tc>
          <w:tcPr>
            <w:tcW w:w="1134" w:type="dxa"/>
            <w:shd w:val="clear" w:color="auto" w:fill="auto"/>
            <w:vAlign w:val="center"/>
          </w:tcPr>
          <w:p w14:paraId="297FC201" w14:textId="77777777" w:rsidR="00D86668" w:rsidRPr="00177252" w:rsidRDefault="00D86668" w:rsidP="00C11675">
            <w:pPr>
              <w:jc w:val="right"/>
              <w:rPr>
                <w:rFonts w:ascii="Arial Narrow" w:hAnsi="Arial Narrow" w:cs="Calibri"/>
                <w:sz w:val="20"/>
                <w:szCs w:val="20"/>
              </w:rPr>
            </w:pPr>
            <w:r>
              <w:rPr>
                <w:rFonts w:ascii="Arial Narrow" w:hAnsi="Arial Narrow" w:cs="Calibri"/>
                <w:sz w:val="20"/>
                <w:szCs w:val="20"/>
              </w:rPr>
              <w:t>1 300 000</w:t>
            </w:r>
          </w:p>
        </w:tc>
        <w:tc>
          <w:tcPr>
            <w:tcW w:w="1275" w:type="dxa"/>
            <w:shd w:val="clear" w:color="auto" w:fill="auto"/>
            <w:vAlign w:val="center"/>
          </w:tcPr>
          <w:p w14:paraId="254275C9" w14:textId="77777777" w:rsidR="00D86668" w:rsidRPr="00177252" w:rsidRDefault="00D86668" w:rsidP="00C11675">
            <w:pPr>
              <w:jc w:val="right"/>
              <w:rPr>
                <w:rFonts w:ascii="Arial Narrow" w:hAnsi="Arial Narrow" w:cs="Calibri"/>
                <w:sz w:val="20"/>
                <w:szCs w:val="20"/>
              </w:rPr>
            </w:pPr>
            <w:r>
              <w:rPr>
                <w:rFonts w:ascii="Arial Narrow" w:hAnsi="Arial Narrow" w:cs="Calibri"/>
                <w:sz w:val="20"/>
                <w:szCs w:val="20"/>
              </w:rPr>
              <w:t>2 300 000</w:t>
            </w:r>
          </w:p>
        </w:tc>
        <w:tc>
          <w:tcPr>
            <w:tcW w:w="2694" w:type="dxa"/>
          </w:tcPr>
          <w:p w14:paraId="01AD5632" w14:textId="77777777" w:rsidR="00D86668" w:rsidRDefault="00D86668" w:rsidP="00C11675">
            <w:pPr>
              <w:rPr>
                <w:rFonts w:ascii="Arial Narrow" w:hAnsi="Arial Narrow" w:cs="Calibri"/>
                <w:sz w:val="20"/>
                <w:szCs w:val="20"/>
              </w:rPr>
            </w:pPr>
            <w:r>
              <w:rPr>
                <w:rFonts w:ascii="Arial Narrow" w:hAnsi="Arial Narrow" w:cs="Calibri"/>
                <w:sz w:val="20"/>
                <w:szCs w:val="20"/>
              </w:rPr>
              <w:t xml:space="preserve">Pridelenie alokácie z druhej </w:t>
            </w:r>
            <w:proofErr w:type="spellStart"/>
            <w:r>
              <w:rPr>
                <w:rFonts w:ascii="Arial Narrow" w:hAnsi="Arial Narrow" w:cs="Calibri"/>
                <w:sz w:val="20"/>
                <w:szCs w:val="20"/>
              </w:rPr>
              <w:t>tranže</w:t>
            </w:r>
            <w:proofErr w:type="spellEnd"/>
            <w:r>
              <w:rPr>
                <w:rFonts w:ascii="Arial Narrow" w:hAnsi="Arial Narrow" w:cs="Calibri"/>
                <w:sz w:val="20"/>
                <w:szCs w:val="20"/>
              </w:rPr>
              <w:t xml:space="preserve"> o 1 300 000 Eur</w:t>
            </w:r>
          </w:p>
        </w:tc>
      </w:tr>
      <w:tr w:rsidR="00D86668" w:rsidRPr="005A2ED3" w14:paraId="0AD3C93A" w14:textId="77777777" w:rsidTr="00D86668">
        <w:tc>
          <w:tcPr>
            <w:tcW w:w="1129" w:type="dxa"/>
            <w:vMerge/>
            <w:shd w:val="clear" w:color="auto" w:fill="auto"/>
            <w:vAlign w:val="center"/>
          </w:tcPr>
          <w:p w14:paraId="6637C2A7" w14:textId="77777777" w:rsidR="00D86668" w:rsidRPr="002C4187" w:rsidRDefault="00D86668" w:rsidP="00C11675">
            <w:pPr>
              <w:jc w:val="center"/>
              <w:rPr>
                <w:rFonts w:ascii="Arial Narrow" w:hAnsi="Arial Narrow" w:cs="Calibri"/>
                <w:b/>
                <w:bCs/>
                <w:color w:val="000000"/>
                <w:sz w:val="20"/>
                <w:szCs w:val="20"/>
              </w:rPr>
            </w:pPr>
          </w:p>
        </w:tc>
        <w:tc>
          <w:tcPr>
            <w:tcW w:w="1701" w:type="dxa"/>
            <w:shd w:val="clear" w:color="auto" w:fill="B6DDE8" w:themeFill="accent5" w:themeFillTint="66"/>
            <w:vAlign w:val="center"/>
          </w:tcPr>
          <w:p w14:paraId="04337363" w14:textId="77777777" w:rsidR="00D86668" w:rsidRDefault="00D86668" w:rsidP="00C11675">
            <w:pPr>
              <w:rPr>
                <w:rFonts w:ascii="Arial Narrow" w:hAnsi="Arial Narrow" w:cs="Calibri"/>
                <w:b/>
                <w:bCs/>
                <w:color w:val="000000"/>
                <w:sz w:val="20"/>
                <w:szCs w:val="20"/>
              </w:rPr>
            </w:pPr>
            <w:r>
              <w:rPr>
                <w:rFonts w:ascii="Arial Narrow" w:hAnsi="Arial Narrow" w:cs="Calibri"/>
                <w:b/>
                <w:bCs/>
                <w:color w:val="000000"/>
                <w:sz w:val="20"/>
                <w:szCs w:val="20"/>
              </w:rPr>
              <w:t>Spolu za PO</w:t>
            </w:r>
          </w:p>
        </w:tc>
        <w:tc>
          <w:tcPr>
            <w:tcW w:w="851" w:type="dxa"/>
            <w:shd w:val="clear" w:color="auto" w:fill="B6DDE8" w:themeFill="accent5" w:themeFillTint="66"/>
            <w:vAlign w:val="center"/>
          </w:tcPr>
          <w:p w14:paraId="44DE53F6" w14:textId="77777777" w:rsidR="00D86668" w:rsidRPr="002C4187" w:rsidRDefault="00D86668" w:rsidP="00C11675">
            <w:pPr>
              <w:jc w:val="center"/>
              <w:rPr>
                <w:rFonts w:ascii="Arial Narrow" w:hAnsi="Arial Narrow" w:cs="Calibri"/>
                <w:b/>
                <w:bCs/>
                <w:color w:val="000000"/>
                <w:sz w:val="20"/>
                <w:szCs w:val="20"/>
              </w:rPr>
            </w:pPr>
          </w:p>
        </w:tc>
        <w:tc>
          <w:tcPr>
            <w:tcW w:w="1276" w:type="dxa"/>
            <w:shd w:val="clear" w:color="auto" w:fill="B6DDE8" w:themeFill="accent5" w:themeFillTint="66"/>
            <w:vAlign w:val="center"/>
          </w:tcPr>
          <w:p w14:paraId="2047EAA6"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6 000 000</w:t>
            </w:r>
          </w:p>
        </w:tc>
        <w:tc>
          <w:tcPr>
            <w:tcW w:w="1134" w:type="dxa"/>
            <w:shd w:val="clear" w:color="auto" w:fill="B6DDE8" w:themeFill="accent5" w:themeFillTint="66"/>
          </w:tcPr>
          <w:p w14:paraId="02019376" w14:textId="77777777" w:rsidR="00D86668" w:rsidRPr="005818C2" w:rsidRDefault="00D86668" w:rsidP="00C11675">
            <w:pPr>
              <w:jc w:val="right"/>
              <w:rPr>
                <w:rFonts w:ascii="Arial Narrow" w:hAnsi="Arial Narrow" w:cs="Calibri"/>
                <w:sz w:val="20"/>
                <w:szCs w:val="20"/>
              </w:rPr>
            </w:pPr>
            <w:r>
              <w:rPr>
                <w:rFonts w:ascii="Arial Narrow" w:hAnsi="Arial Narrow" w:cs="Calibri"/>
                <w:sz w:val="20"/>
                <w:szCs w:val="20"/>
              </w:rPr>
              <w:t>1 300 000</w:t>
            </w:r>
          </w:p>
        </w:tc>
        <w:tc>
          <w:tcPr>
            <w:tcW w:w="1275" w:type="dxa"/>
            <w:shd w:val="clear" w:color="auto" w:fill="B6DDE8" w:themeFill="accent5" w:themeFillTint="66"/>
          </w:tcPr>
          <w:p w14:paraId="1182CF57" w14:textId="77777777" w:rsidR="00D86668" w:rsidRPr="005818C2" w:rsidRDefault="00D86668" w:rsidP="00C11675">
            <w:pPr>
              <w:jc w:val="right"/>
              <w:rPr>
                <w:rFonts w:ascii="Arial Narrow" w:hAnsi="Arial Narrow" w:cs="Calibri"/>
                <w:sz w:val="20"/>
                <w:szCs w:val="20"/>
              </w:rPr>
            </w:pPr>
            <w:r>
              <w:rPr>
                <w:rFonts w:ascii="Arial Narrow" w:hAnsi="Arial Narrow" w:cs="Calibri"/>
                <w:sz w:val="20"/>
                <w:szCs w:val="20"/>
              </w:rPr>
              <w:t>7 300 000</w:t>
            </w:r>
          </w:p>
        </w:tc>
        <w:tc>
          <w:tcPr>
            <w:tcW w:w="2694" w:type="dxa"/>
            <w:shd w:val="clear" w:color="auto" w:fill="B6DDE8" w:themeFill="accent5" w:themeFillTint="66"/>
          </w:tcPr>
          <w:p w14:paraId="6258FC4C" w14:textId="77777777" w:rsidR="00D86668" w:rsidRPr="005818C2" w:rsidRDefault="00D86668" w:rsidP="00C11675">
            <w:pPr>
              <w:jc w:val="right"/>
              <w:rPr>
                <w:rFonts w:ascii="Arial Narrow" w:hAnsi="Arial Narrow" w:cs="Calibri"/>
                <w:sz w:val="20"/>
                <w:szCs w:val="20"/>
              </w:rPr>
            </w:pPr>
          </w:p>
        </w:tc>
      </w:tr>
      <w:tr w:rsidR="00D86668" w:rsidRPr="005A2ED3" w14:paraId="3387298A" w14:textId="77777777" w:rsidTr="00D86668">
        <w:tc>
          <w:tcPr>
            <w:tcW w:w="1129" w:type="dxa"/>
            <w:vMerge w:val="restart"/>
            <w:shd w:val="clear" w:color="auto" w:fill="95B3D7" w:themeFill="accent1" w:themeFillTint="99"/>
            <w:vAlign w:val="center"/>
            <w:hideMark/>
          </w:tcPr>
          <w:p w14:paraId="79DB72D5" w14:textId="77777777" w:rsidR="00D86668" w:rsidRPr="005A2ED3" w:rsidRDefault="00D86668" w:rsidP="00C11675">
            <w:pPr>
              <w:jc w:val="center"/>
              <w:rPr>
                <w:rFonts w:ascii="Arial Narrow" w:hAnsi="Arial Narrow" w:cs="Calibri"/>
                <w:b/>
                <w:bCs/>
                <w:sz w:val="20"/>
                <w:szCs w:val="20"/>
              </w:rPr>
            </w:pPr>
            <w:r w:rsidRPr="005A2ED3">
              <w:rPr>
                <w:rFonts w:ascii="Arial Narrow" w:hAnsi="Arial Narrow" w:cs="Calibri"/>
                <w:b/>
                <w:bCs/>
                <w:sz w:val="20"/>
                <w:szCs w:val="20"/>
              </w:rPr>
              <w:t>Spolu</w:t>
            </w:r>
          </w:p>
        </w:tc>
        <w:tc>
          <w:tcPr>
            <w:tcW w:w="1701" w:type="dxa"/>
            <w:shd w:val="clear" w:color="000000" w:fill="C5D9F1"/>
            <w:vAlign w:val="center"/>
            <w:hideMark/>
          </w:tcPr>
          <w:p w14:paraId="72D1617E"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MRR</w:t>
            </w:r>
          </w:p>
        </w:tc>
        <w:tc>
          <w:tcPr>
            <w:tcW w:w="851" w:type="dxa"/>
            <w:shd w:val="clear" w:color="000000" w:fill="C5D9F1"/>
            <w:vAlign w:val="center"/>
            <w:hideMark/>
          </w:tcPr>
          <w:p w14:paraId="65961263"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MRR</w:t>
            </w:r>
          </w:p>
        </w:tc>
        <w:tc>
          <w:tcPr>
            <w:tcW w:w="1276" w:type="dxa"/>
            <w:shd w:val="clear" w:color="000000" w:fill="C5D9F1"/>
            <w:vAlign w:val="center"/>
          </w:tcPr>
          <w:p w14:paraId="494C444B"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1 578 083 169 </w:t>
            </w:r>
          </w:p>
        </w:tc>
        <w:tc>
          <w:tcPr>
            <w:tcW w:w="1134" w:type="dxa"/>
            <w:shd w:val="clear" w:color="000000" w:fill="C5D9F1"/>
          </w:tcPr>
          <w:p w14:paraId="0DE4D368"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0</w:t>
            </w:r>
          </w:p>
        </w:tc>
        <w:tc>
          <w:tcPr>
            <w:tcW w:w="1275" w:type="dxa"/>
            <w:shd w:val="clear" w:color="000000" w:fill="C5D9F1"/>
            <w:vAlign w:val="center"/>
          </w:tcPr>
          <w:p w14:paraId="1E8EEE50"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1 578 083 169 </w:t>
            </w:r>
          </w:p>
        </w:tc>
        <w:tc>
          <w:tcPr>
            <w:tcW w:w="2694" w:type="dxa"/>
            <w:shd w:val="clear" w:color="000000" w:fill="C5D9F1"/>
          </w:tcPr>
          <w:p w14:paraId="6C592902" w14:textId="77777777" w:rsidR="00D86668" w:rsidRPr="005818C2" w:rsidRDefault="00D86668" w:rsidP="00C11675">
            <w:pPr>
              <w:jc w:val="right"/>
              <w:rPr>
                <w:rFonts w:ascii="Arial Narrow" w:hAnsi="Arial Narrow" w:cs="Calibri"/>
                <w:sz w:val="20"/>
                <w:szCs w:val="20"/>
              </w:rPr>
            </w:pPr>
          </w:p>
        </w:tc>
      </w:tr>
      <w:tr w:rsidR="00D86668" w:rsidRPr="005A2ED3" w14:paraId="385B1EAC" w14:textId="77777777" w:rsidTr="00D86668">
        <w:tc>
          <w:tcPr>
            <w:tcW w:w="1129" w:type="dxa"/>
            <w:vMerge/>
            <w:shd w:val="clear" w:color="auto" w:fill="95B3D7" w:themeFill="accent1" w:themeFillTint="99"/>
            <w:vAlign w:val="center"/>
            <w:hideMark/>
          </w:tcPr>
          <w:p w14:paraId="635157B1" w14:textId="77777777" w:rsidR="00D86668" w:rsidRPr="005A2ED3" w:rsidRDefault="00D86668" w:rsidP="00C11675">
            <w:pPr>
              <w:rPr>
                <w:rFonts w:ascii="Arial Narrow" w:hAnsi="Arial Narrow" w:cs="Calibri"/>
                <w:b/>
                <w:bCs/>
                <w:sz w:val="20"/>
                <w:szCs w:val="20"/>
              </w:rPr>
            </w:pPr>
          </w:p>
        </w:tc>
        <w:tc>
          <w:tcPr>
            <w:tcW w:w="1701" w:type="dxa"/>
            <w:shd w:val="clear" w:color="000000" w:fill="C5D9F1"/>
            <w:vAlign w:val="center"/>
            <w:hideMark/>
          </w:tcPr>
          <w:p w14:paraId="429E02DC"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VRR</w:t>
            </w:r>
          </w:p>
        </w:tc>
        <w:tc>
          <w:tcPr>
            <w:tcW w:w="851" w:type="dxa"/>
            <w:shd w:val="clear" w:color="000000" w:fill="C5D9F1"/>
            <w:vAlign w:val="center"/>
            <w:hideMark/>
          </w:tcPr>
          <w:p w14:paraId="42E0786E"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VRR</w:t>
            </w:r>
          </w:p>
        </w:tc>
        <w:tc>
          <w:tcPr>
            <w:tcW w:w="1276" w:type="dxa"/>
            <w:shd w:val="clear" w:color="000000" w:fill="C5D9F1"/>
            <w:vAlign w:val="center"/>
          </w:tcPr>
          <w:p w14:paraId="3878EAE1"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121 858 609</w:t>
            </w:r>
          </w:p>
        </w:tc>
        <w:tc>
          <w:tcPr>
            <w:tcW w:w="1134" w:type="dxa"/>
            <w:shd w:val="clear" w:color="000000" w:fill="C5D9F1"/>
          </w:tcPr>
          <w:p w14:paraId="11D78831"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0</w:t>
            </w:r>
          </w:p>
        </w:tc>
        <w:tc>
          <w:tcPr>
            <w:tcW w:w="1275" w:type="dxa"/>
            <w:shd w:val="clear" w:color="000000" w:fill="C5D9F1"/>
            <w:vAlign w:val="center"/>
          </w:tcPr>
          <w:p w14:paraId="14907A19"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121 858 609</w:t>
            </w:r>
          </w:p>
        </w:tc>
        <w:tc>
          <w:tcPr>
            <w:tcW w:w="2694" w:type="dxa"/>
            <w:shd w:val="clear" w:color="000000" w:fill="C5D9F1"/>
          </w:tcPr>
          <w:p w14:paraId="05A8D0B3" w14:textId="77777777" w:rsidR="00D86668" w:rsidRPr="005818C2" w:rsidRDefault="00D86668" w:rsidP="00C11675">
            <w:pPr>
              <w:jc w:val="right"/>
              <w:rPr>
                <w:rFonts w:ascii="Arial Narrow" w:hAnsi="Arial Narrow" w:cs="Calibri"/>
                <w:sz w:val="20"/>
                <w:szCs w:val="20"/>
              </w:rPr>
            </w:pPr>
          </w:p>
        </w:tc>
      </w:tr>
      <w:tr w:rsidR="00D86668" w:rsidRPr="005A2ED3" w14:paraId="0BB79B85" w14:textId="77777777" w:rsidTr="00D86668">
        <w:tc>
          <w:tcPr>
            <w:tcW w:w="1129" w:type="dxa"/>
            <w:vMerge/>
            <w:shd w:val="clear" w:color="auto" w:fill="95B3D7" w:themeFill="accent1" w:themeFillTint="99"/>
            <w:vAlign w:val="center"/>
          </w:tcPr>
          <w:p w14:paraId="1AB47671" w14:textId="77777777" w:rsidR="00D86668" w:rsidRPr="005A2ED3" w:rsidRDefault="00D86668" w:rsidP="00C11675">
            <w:pPr>
              <w:rPr>
                <w:rFonts w:ascii="Arial Narrow" w:hAnsi="Arial Narrow" w:cs="Calibri"/>
                <w:b/>
                <w:bCs/>
                <w:sz w:val="20"/>
                <w:szCs w:val="20"/>
              </w:rPr>
            </w:pPr>
          </w:p>
        </w:tc>
        <w:tc>
          <w:tcPr>
            <w:tcW w:w="1701" w:type="dxa"/>
            <w:shd w:val="clear" w:color="auto" w:fill="95B3D7" w:themeFill="accent1" w:themeFillTint="99"/>
            <w:vAlign w:val="center"/>
          </w:tcPr>
          <w:p w14:paraId="18308B3E" w14:textId="77777777" w:rsidR="00D86668" w:rsidRPr="005A2ED3" w:rsidRDefault="00D86668" w:rsidP="00C11675">
            <w:pPr>
              <w:rPr>
                <w:rFonts w:ascii="Arial Narrow" w:hAnsi="Arial Narrow" w:cs="Calibri"/>
                <w:b/>
                <w:bCs/>
                <w:color w:val="000000"/>
                <w:sz w:val="20"/>
                <w:szCs w:val="20"/>
              </w:rPr>
            </w:pPr>
            <w:r>
              <w:rPr>
                <w:rFonts w:ascii="Arial Narrow" w:hAnsi="Arial Narrow" w:cs="Calibri"/>
                <w:b/>
                <w:bCs/>
                <w:color w:val="000000"/>
                <w:sz w:val="20"/>
                <w:szCs w:val="20"/>
              </w:rPr>
              <w:t>Spolu  REACT-EÚ</w:t>
            </w:r>
          </w:p>
        </w:tc>
        <w:tc>
          <w:tcPr>
            <w:tcW w:w="851" w:type="dxa"/>
            <w:shd w:val="clear" w:color="auto" w:fill="95B3D7" w:themeFill="accent1" w:themeFillTint="99"/>
            <w:vAlign w:val="center"/>
          </w:tcPr>
          <w:p w14:paraId="195A9A39" w14:textId="77777777" w:rsidR="00D86668" w:rsidRPr="005A2ED3" w:rsidRDefault="00D86668" w:rsidP="00C11675">
            <w:pPr>
              <w:jc w:val="center"/>
              <w:rPr>
                <w:rFonts w:ascii="Arial Narrow" w:hAnsi="Arial Narrow" w:cs="Calibri"/>
                <w:color w:val="000000"/>
                <w:sz w:val="20"/>
                <w:szCs w:val="20"/>
              </w:rPr>
            </w:pPr>
            <w:r>
              <w:rPr>
                <w:rFonts w:ascii="Arial Narrow" w:hAnsi="Arial Narrow" w:cs="Calibri"/>
                <w:color w:val="000000"/>
                <w:sz w:val="20"/>
                <w:szCs w:val="20"/>
              </w:rPr>
              <w:t>N/A</w:t>
            </w:r>
          </w:p>
        </w:tc>
        <w:tc>
          <w:tcPr>
            <w:tcW w:w="1276" w:type="dxa"/>
            <w:shd w:val="clear" w:color="auto" w:fill="95B3D7" w:themeFill="accent1" w:themeFillTint="99"/>
            <w:vAlign w:val="center"/>
          </w:tcPr>
          <w:p w14:paraId="43DB483C"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194 900 994</w:t>
            </w:r>
          </w:p>
        </w:tc>
        <w:tc>
          <w:tcPr>
            <w:tcW w:w="1134" w:type="dxa"/>
            <w:shd w:val="clear" w:color="auto" w:fill="95B3D7" w:themeFill="accent1" w:themeFillTint="99"/>
          </w:tcPr>
          <w:p w14:paraId="4E6F033B"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40 881 990</w:t>
            </w:r>
          </w:p>
        </w:tc>
        <w:tc>
          <w:tcPr>
            <w:tcW w:w="1275" w:type="dxa"/>
            <w:shd w:val="clear" w:color="auto" w:fill="95B3D7" w:themeFill="accent1" w:themeFillTint="99"/>
          </w:tcPr>
          <w:p w14:paraId="13DBDBAF" w14:textId="77777777" w:rsidR="00D86668" w:rsidRPr="005818C2" w:rsidRDefault="00D86668" w:rsidP="00C11675">
            <w:pPr>
              <w:jc w:val="right"/>
              <w:rPr>
                <w:rFonts w:ascii="Arial Narrow" w:hAnsi="Arial Narrow" w:cs="Calibri"/>
                <w:sz w:val="20"/>
                <w:szCs w:val="20"/>
              </w:rPr>
            </w:pPr>
            <w:r w:rsidRPr="005818C2">
              <w:rPr>
                <w:rFonts w:ascii="Arial Narrow" w:hAnsi="Arial Narrow" w:cs="Calibri"/>
                <w:sz w:val="20"/>
                <w:szCs w:val="20"/>
              </w:rPr>
              <w:t xml:space="preserve">235 782 984   </w:t>
            </w:r>
          </w:p>
        </w:tc>
        <w:tc>
          <w:tcPr>
            <w:tcW w:w="2694" w:type="dxa"/>
            <w:shd w:val="clear" w:color="auto" w:fill="95B3D7" w:themeFill="accent1" w:themeFillTint="99"/>
          </w:tcPr>
          <w:p w14:paraId="7487759A" w14:textId="77777777" w:rsidR="00D86668" w:rsidRPr="005818C2" w:rsidRDefault="00D86668" w:rsidP="00C11675">
            <w:pPr>
              <w:jc w:val="right"/>
              <w:rPr>
                <w:rFonts w:ascii="Arial Narrow" w:hAnsi="Arial Narrow" w:cs="Calibri"/>
                <w:sz w:val="20"/>
                <w:szCs w:val="20"/>
              </w:rPr>
            </w:pPr>
          </w:p>
        </w:tc>
      </w:tr>
      <w:tr w:rsidR="00D86668" w:rsidRPr="005A2ED3" w14:paraId="3D65EE23" w14:textId="77777777" w:rsidTr="00D86668">
        <w:tc>
          <w:tcPr>
            <w:tcW w:w="1129" w:type="dxa"/>
            <w:vMerge/>
            <w:shd w:val="clear" w:color="auto" w:fill="95B3D7" w:themeFill="accent1" w:themeFillTint="99"/>
            <w:vAlign w:val="center"/>
            <w:hideMark/>
          </w:tcPr>
          <w:p w14:paraId="1DD5F97C" w14:textId="77777777" w:rsidR="00D86668" w:rsidRPr="005A2ED3" w:rsidRDefault="00D86668" w:rsidP="00C11675">
            <w:pPr>
              <w:rPr>
                <w:rFonts w:ascii="Arial Narrow" w:hAnsi="Arial Narrow" w:cs="Calibri"/>
                <w:b/>
                <w:bCs/>
                <w:sz w:val="20"/>
                <w:szCs w:val="20"/>
              </w:rPr>
            </w:pPr>
          </w:p>
        </w:tc>
        <w:tc>
          <w:tcPr>
            <w:tcW w:w="1701" w:type="dxa"/>
            <w:shd w:val="clear" w:color="auto" w:fill="95B3D7" w:themeFill="accent1" w:themeFillTint="99"/>
            <w:vAlign w:val="center"/>
            <w:hideMark/>
          </w:tcPr>
          <w:p w14:paraId="34D0DE6B" w14:textId="77777777" w:rsidR="00D86668" w:rsidRPr="005A2ED3" w:rsidRDefault="00D86668" w:rsidP="00C11675">
            <w:pPr>
              <w:rPr>
                <w:rFonts w:ascii="Arial Narrow" w:hAnsi="Arial Narrow" w:cs="Calibri"/>
                <w:b/>
                <w:bCs/>
                <w:color w:val="000000"/>
                <w:sz w:val="20"/>
                <w:szCs w:val="20"/>
              </w:rPr>
            </w:pPr>
            <w:r w:rsidRPr="005A2ED3">
              <w:rPr>
                <w:rFonts w:ascii="Arial Narrow" w:hAnsi="Arial Narrow" w:cs="Calibri"/>
                <w:b/>
                <w:bCs/>
                <w:color w:val="000000"/>
                <w:sz w:val="20"/>
                <w:szCs w:val="20"/>
              </w:rPr>
              <w:t>Spolu IROP</w:t>
            </w:r>
          </w:p>
        </w:tc>
        <w:tc>
          <w:tcPr>
            <w:tcW w:w="851" w:type="dxa"/>
            <w:shd w:val="clear" w:color="auto" w:fill="95B3D7" w:themeFill="accent1" w:themeFillTint="99"/>
            <w:vAlign w:val="center"/>
            <w:hideMark/>
          </w:tcPr>
          <w:p w14:paraId="4BF17694" w14:textId="77777777" w:rsidR="00D86668" w:rsidRPr="005A2ED3" w:rsidRDefault="00D86668" w:rsidP="00C11675">
            <w:pPr>
              <w:jc w:val="center"/>
              <w:rPr>
                <w:rFonts w:ascii="Arial Narrow" w:hAnsi="Arial Narrow" w:cs="Calibri"/>
                <w:color w:val="000000"/>
                <w:sz w:val="20"/>
                <w:szCs w:val="20"/>
              </w:rPr>
            </w:pPr>
            <w:r w:rsidRPr="005A2ED3">
              <w:rPr>
                <w:rFonts w:ascii="Arial Narrow" w:hAnsi="Arial Narrow" w:cs="Calibri"/>
                <w:color w:val="000000"/>
                <w:sz w:val="20"/>
                <w:szCs w:val="20"/>
              </w:rPr>
              <w:t> </w:t>
            </w:r>
          </w:p>
        </w:tc>
        <w:tc>
          <w:tcPr>
            <w:tcW w:w="1276" w:type="dxa"/>
            <w:shd w:val="clear" w:color="auto" w:fill="95B3D7" w:themeFill="accent1" w:themeFillTint="99"/>
            <w:vAlign w:val="center"/>
          </w:tcPr>
          <w:p w14:paraId="095EDF17" w14:textId="77777777" w:rsidR="00D86668" w:rsidRPr="005A2ED3" w:rsidRDefault="00D86668" w:rsidP="00C11675">
            <w:pPr>
              <w:jc w:val="right"/>
              <w:rPr>
                <w:rFonts w:ascii="Arial Narrow" w:hAnsi="Arial Narrow" w:cs="Calibri"/>
                <w:sz w:val="20"/>
                <w:szCs w:val="20"/>
              </w:rPr>
            </w:pPr>
            <w:r w:rsidRPr="00063E86">
              <w:rPr>
                <w:rFonts w:ascii="Arial Narrow" w:hAnsi="Arial Narrow" w:cs="Calibri"/>
                <w:sz w:val="20"/>
                <w:szCs w:val="20"/>
              </w:rPr>
              <w:t>1 894 842 772</w:t>
            </w:r>
          </w:p>
        </w:tc>
        <w:tc>
          <w:tcPr>
            <w:tcW w:w="1134" w:type="dxa"/>
            <w:shd w:val="clear" w:color="auto" w:fill="95B3D7" w:themeFill="accent1" w:themeFillTint="99"/>
          </w:tcPr>
          <w:p w14:paraId="17A1283C" w14:textId="77777777" w:rsidR="00D86668" w:rsidRPr="00FE3C5A" w:rsidRDefault="00D86668" w:rsidP="00C11675">
            <w:pPr>
              <w:jc w:val="right"/>
              <w:rPr>
                <w:rFonts w:ascii="Arial Narrow" w:hAnsi="Arial Narrow" w:cs="Calibri"/>
                <w:sz w:val="20"/>
                <w:szCs w:val="20"/>
              </w:rPr>
            </w:pPr>
            <w:r w:rsidRPr="00FE3C5A">
              <w:rPr>
                <w:rFonts w:ascii="Arial Narrow" w:hAnsi="Arial Narrow" w:cs="Calibri"/>
                <w:sz w:val="20"/>
                <w:szCs w:val="20"/>
              </w:rPr>
              <w:t>40 881 990</w:t>
            </w:r>
          </w:p>
        </w:tc>
        <w:tc>
          <w:tcPr>
            <w:tcW w:w="1275" w:type="dxa"/>
            <w:shd w:val="clear" w:color="auto" w:fill="95B3D7" w:themeFill="accent1" w:themeFillTint="99"/>
          </w:tcPr>
          <w:p w14:paraId="1C914616" w14:textId="77777777" w:rsidR="00D86668" w:rsidRPr="005A2ED3" w:rsidRDefault="00D86668" w:rsidP="00C11675">
            <w:pPr>
              <w:jc w:val="right"/>
              <w:rPr>
                <w:rFonts w:ascii="Arial Narrow" w:hAnsi="Arial Narrow" w:cs="Calibri"/>
                <w:sz w:val="20"/>
                <w:szCs w:val="20"/>
              </w:rPr>
            </w:pPr>
            <w:r w:rsidRPr="003A6C8C">
              <w:rPr>
                <w:rFonts w:ascii="Arial Narrow" w:hAnsi="Arial Narrow" w:cs="Calibri"/>
                <w:sz w:val="20"/>
                <w:szCs w:val="20"/>
              </w:rPr>
              <w:t>1 935 724 762</w:t>
            </w:r>
          </w:p>
        </w:tc>
        <w:tc>
          <w:tcPr>
            <w:tcW w:w="2694" w:type="dxa"/>
            <w:shd w:val="clear" w:color="auto" w:fill="95B3D7" w:themeFill="accent1" w:themeFillTint="99"/>
          </w:tcPr>
          <w:p w14:paraId="0C3A8DFE" w14:textId="77777777" w:rsidR="00D86668" w:rsidRPr="003A6C8C" w:rsidRDefault="00D86668" w:rsidP="00C11675">
            <w:pPr>
              <w:jc w:val="right"/>
              <w:rPr>
                <w:rFonts w:ascii="Arial Narrow" w:hAnsi="Arial Narrow" w:cs="Calibri"/>
                <w:sz w:val="20"/>
                <w:szCs w:val="20"/>
              </w:rPr>
            </w:pPr>
          </w:p>
        </w:tc>
      </w:tr>
    </w:tbl>
    <w:p w14:paraId="0A6D9CA5" w14:textId="77777777" w:rsidR="00D86668" w:rsidRPr="00E64CA5" w:rsidRDefault="00D86668" w:rsidP="00D86668">
      <w:pPr>
        <w:spacing w:before="120"/>
        <w:jc w:val="both"/>
        <w:rPr>
          <w:rFonts w:ascii="Arial Narrow" w:hAnsi="Arial Narrow"/>
          <w:b/>
        </w:rPr>
      </w:pPr>
    </w:p>
    <w:p w14:paraId="4B25E26B" w14:textId="60E8339F" w:rsidR="00213CE7" w:rsidRPr="00F510FE" w:rsidRDefault="00D6402D" w:rsidP="0087675E">
      <w:pPr>
        <w:spacing w:before="80" w:after="80" w:line="276" w:lineRule="auto"/>
        <w:ind w:left="284" w:hanging="284"/>
        <w:jc w:val="both"/>
        <w:rPr>
          <w:b/>
          <w:bCs/>
          <w:sz w:val="22"/>
          <w:szCs w:val="22"/>
        </w:rPr>
      </w:pPr>
      <w:r w:rsidRPr="00F510FE">
        <w:rPr>
          <w:b/>
          <w:bCs/>
          <w:sz w:val="22"/>
          <w:szCs w:val="22"/>
        </w:rPr>
        <w:t>5.</w:t>
      </w:r>
      <w:r w:rsidR="00262F85" w:rsidRPr="00F510FE">
        <w:rPr>
          <w:b/>
          <w:bCs/>
          <w:sz w:val="22"/>
          <w:szCs w:val="22"/>
        </w:rPr>
        <w:tab/>
      </w:r>
      <w:r w:rsidR="00E54ACB" w:rsidRPr="00F510FE">
        <w:rPr>
          <w:b/>
          <w:bCs/>
          <w:sz w:val="22"/>
          <w:szCs w:val="22"/>
        </w:rPr>
        <w:t>Uvažované variantné riešenia</w:t>
      </w:r>
      <w:r w:rsidR="00213CE7" w:rsidRPr="00F510FE">
        <w:rPr>
          <w:b/>
          <w:bCs/>
          <w:sz w:val="22"/>
          <w:szCs w:val="22"/>
        </w:rPr>
        <w:t xml:space="preserve"> zohľadňujúce ciele a geografický rozmer strategického dokumentu</w:t>
      </w:r>
    </w:p>
    <w:p w14:paraId="57D8809C" w14:textId="77777777" w:rsidR="00E54ACB" w:rsidRPr="00094181" w:rsidRDefault="00C63DE7" w:rsidP="0087675E">
      <w:pPr>
        <w:widowControl/>
        <w:autoSpaceDE/>
        <w:autoSpaceDN/>
        <w:adjustRightInd/>
        <w:spacing w:before="80" w:line="276" w:lineRule="auto"/>
        <w:ind w:left="284"/>
        <w:jc w:val="both"/>
        <w:rPr>
          <w:sz w:val="22"/>
          <w:szCs w:val="22"/>
        </w:rPr>
      </w:pPr>
      <w:r w:rsidRPr="00094181">
        <w:rPr>
          <w:sz w:val="22"/>
          <w:szCs w:val="22"/>
        </w:rPr>
        <w:t xml:space="preserve">Navrhované zmeny IROP sú invariantného charakteru z dôvodu limitovaných možnosti uskutočnenia revízie. </w:t>
      </w:r>
    </w:p>
    <w:p w14:paraId="2BCE924F" w14:textId="746F4AFC" w:rsidR="00E54ACB" w:rsidRPr="00F510FE" w:rsidRDefault="00262F85" w:rsidP="00D66A79">
      <w:pPr>
        <w:spacing w:before="80" w:line="264" w:lineRule="auto"/>
        <w:ind w:left="284" w:hanging="284"/>
        <w:jc w:val="both"/>
        <w:rPr>
          <w:b/>
          <w:bCs/>
          <w:sz w:val="22"/>
          <w:szCs w:val="22"/>
        </w:rPr>
      </w:pPr>
      <w:r w:rsidRPr="00F510FE">
        <w:rPr>
          <w:b/>
          <w:bCs/>
          <w:sz w:val="22"/>
          <w:szCs w:val="22"/>
        </w:rPr>
        <w:t>6</w:t>
      </w:r>
      <w:r w:rsidR="00E84FB4" w:rsidRPr="00F510FE">
        <w:rPr>
          <w:b/>
          <w:bCs/>
          <w:sz w:val="22"/>
          <w:szCs w:val="22"/>
        </w:rPr>
        <w:t>.</w:t>
      </w:r>
      <w:r w:rsidRPr="00F510FE">
        <w:rPr>
          <w:b/>
          <w:bCs/>
          <w:sz w:val="22"/>
          <w:szCs w:val="22"/>
        </w:rPr>
        <w:tab/>
      </w:r>
      <w:r w:rsidR="00E54ACB" w:rsidRPr="00F510FE">
        <w:rPr>
          <w:b/>
          <w:bCs/>
          <w:sz w:val="22"/>
          <w:szCs w:val="22"/>
        </w:rPr>
        <w:t>Vecný a časový harmonogram prípravy a schvaľovania</w:t>
      </w:r>
    </w:p>
    <w:p w14:paraId="2ECFADA7" w14:textId="02FFA221" w:rsidR="00910C7C" w:rsidRPr="00094181" w:rsidRDefault="00C63DE7" w:rsidP="0087675E">
      <w:pPr>
        <w:widowControl/>
        <w:autoSpaceDE/>
        <w:autoSpaceDN/>
        <w:adjustRightInd/>
        <w:spacing w:before="80" w:line="276" w:lineRule="auto"/>
        <w:ind w:left="284"/>
        <w:jc w:val="both"/>
        <w:rPr>
          <w:sz w:val="22"/>
          <w:szCs w:val="22"/>
        </w:rPr>
      </w:pPr>
      <w:r w:rsidRPr="00094181">
        <w:rPr>
          <w:sz w:val="22"/>
          <w:szCs w:val="22"/>
        </w:rPr>
        <w:t xml:space="preserve">Navrhované zmeny IROP </w:t>
      </w:r>
      <w:r w:rsidR="003D3DC1" w:rsidRPr="00094181">
        <w:rPr>
          <w:sz w:val="22"/>
          <w:szCs w:val="22"/>
        </w:rPr>
        <w:t xml:space="preserve">(verzia </w:t>
      </w:r>
      <w:r w:rsidR="00377D51">
        <w:rPr>
          <w:sz w:val="22"/>
          <w:szCs w:val="22"/>
        </w:rPr>
        <w:t>1</w:t>
      </w:r>
      <w:r w:rsidR="00597B23">
        <w:rPr>
          <w:sz w:val="22"/>
          <w:szCs w:val="22"/>
        </w:rPr>
        <w:t>2</w:t>
      </w:r>
      <w:r w:rsidR="00072B20" w:rsidRPr="00094181">
        <w:rPr>
          <w:sz w:val="22"/>
          <w:szCs w:val="22"/>
        </w:rPr>
        <w:t>.0</w:t>
      </w:r>
      <w:r w:rsidR="003D3DC1" w:rsidRPr="00094181">
        <w:rPr>
          <w:sz w:val="22"/>
          <w:szCs w:val="22"/>
        </w:rPr>
        <w:t xml:space="preserve">) </w:t>
      </w:r>
      <w:r w:rsidRPr="00094181">
        <w:rPr>
          <w:sz w:val="22"/>
          <w:szCs w:val="22"/>
        </w:rPr>
        <w:t xml:space="preserve">boli predmetom </w:t>
      </w:r>
      <w:r w:rsidR="00582CF8" w:rsidRPr="00094181">
        <w:rPr>
          <w:sz w:val="22"/>
          <w:szCs w:val="22"/>
        </w:rPr>
        <w:t xml:space="preserve">pripomienkovania </w:t>
      </w:r>
      <w:r w:rsidR="00910C7C" w:rsidRPr="00094181">
        <w:rPr>
          <w:sz w:val="22"/>
          <w:szCs w:val="22"/>
        </w:rPr>
        <w:t>s</w:t>
      </w:r>
      <w:r w:rsidR="00C32D3B" w:rsidRPr="00094181">
        <w:rPr>
          <w:sz w:val="22"/>
          <w:szCs w:val="22"/>
        </w:rPr>
        <w:t xml:space="preserve">prostredkovateľských orgánov IROP a členov </w:t>
      </w:r>
      <w:r w:rsidR="00582CF8" w:rsidRPr="00094181">
        <w:rPr>
          <w:sz w:val="22"/>
          <w:szCs w:val="22"/>
        </w:rPr>
        <w:t xml:space="preserve">Monitorovacieho výboru IROP </w:t>
      </w:r>
      <w:r w:rsidR="00C32D3B" w:rsidRPr="00094181">
        <w:rPr>
          <w:sz w:val="22"/>
          <w:szCs w:val="22"/>
        </w:rPr>
        <w:t>v</w:t>
      </w:r>
      <w:r w:rsidR="00E84FB4" w:rsidRPr="00094181">
        <w:rPr>
          <w:sz w:val="22"/>
          <w:szCs w:val="22"/>
        </w:rPr>
        <w:t> </w:t>
      </w:r>
      <w:r w:rsidR="00C32D3B" w:rsidRPr="00094181">
        <w:rPr>
          <w:sz w:val="22"/>
          <w:szCs w:val="22"/>
        </w:rPr>
        <w:t>mesiac</w:t>
      </w:r>
      <w:r w:rsidR="00E84FB4" w:rsidRPr="00094181">
        <w:rPr>
          <w:sz w:val="22"/>
          <w:szCs w:val="22"/>
        </w:rPr>
        <w:t xml:space="preserve">i </w:t>
      </w:r>
      <w:r w:rsidR="009267AD">
        <w:rPr>
          <w:sz w:val="22"/>
          <w:szCs w:val="22"/>
        </w:rPr>
        <w:t>máj</w:t>
      </w:r>
      <w:r w:rsidR="00E84FB4" w:rsidRPr="00094181">
        <w:rPr>
          <w:sz w:val="22"/>
          <w:szCs w:val="22"/>
        </w:rPr>
        <w:t xml:space="preserve"> </w:t>
      </w:r>
      <w:r w:rsidR="00377D51">
        <w:rPr>
          <w:sz w:val="22"/>
          <w:szCs w:val="22"/>
        </w:rPr>
        <w:t>2022</w:t>
      </w:r>
      <w:r w:rsidR="00E84FB4" w:rsidRPr="00094181">
        <w:rPr>
          <w:sz w:val="22"/>
          <w:szCs w:val="22"/>
        </w:rPr>
        <w:t xml:space="preserve"> </w:t>
      </w:r>
      <w:r w:rsidR="00582CF8" w:rsidRPr="00094181">
        <w:rPr>
          <w:sz w:val="22"/>
          <w:szCs w:val="22"/>
        </w:rPr>
        <w:t>a</w:t>
      </w:r>
      <w:r w:rsidR="00E84FB4" w:rsidRPr="00094181">
        <w:rPr>
          <w:sz w:val="22"/>
          <w:szCs w:val="22"/>
        </w:rPr>
        <w:t> </w:t>
      </w:r>
      <w:r w:rsidR="001535FC">
        <w:rPr>
          <w:sz w:val="22"/>
          <w:szCs w:val="22"/>
        </w:rPr>
        <w:t>boli</w:t>
      </w:r>
      <w:r w:rsidR="00E84FB4" w:rsidRPr="00094181">
        <w:rPr>
          <w:sz w:val="22"/>
          <w:szCs w:val="22"/>
        </w:rPr>
        <w:t xml:space="preserve"> predmetom </w:t>
      </w:r>
      <w:r w:rsidR="00582CF8" w:rsidRPr="00094181">
        <w:rPr>
          <w:sz w:val="22"/>
          <w:szCs w:val="22"/>
        </w:rPr>
        <w:t xml:space="preserve">následného </w:t>
      </w:r>
      <w:r w:rsidRPr="00094181">
        <w:rPr>
          <w:sz w:val="22"/>
          <w:szCs w:val="22"/>
        </w:rPr>
        <w:t>schv</w:t>
      </w:r>
      <w:r w:rsidR="002C5904" w:rsidRPr="00094181">
        <w:rPr>
          <w:sz w:val="22"/>
          <w:szCs w:val="22"/>
        </w:rPr>
        <w:t>álenia</w:t>
      </w:r>
      <w:r w:rsidRPr="00094181">
        <w:rPr>
          <w:sz w:val="22"/>
          <w:szCs w:val="22"/>
        </w:rPr>
        <w:t xml:space="preserve"> M</w:t>
      </w:r>
      <w:r w:rsidR="00582CF8" w:rsidRPr="00094181">
        <w:rPr>
          <w:sz w:val="22"/>
          <w:szCs w:val="22"/>
        </w:rPr>
        <w:t>onitorovacím výborom</w:t>
      </w:r>
      <w:r w:rsidRPr="00094181">
        <w:rPr>
          <w:sz w:val="22"/>
          <w:szCs w:val="22"/>
        </w:rPr>
        <w:t xml:space="preserve"> IROP dňa </w:t>
      </w:r>
      <w:r w:rsidR="00361F79">
        <w:rPr>
          <w:sz w:val="22"/>
          <w:szCs w:val="22"/>
        </w:rPr>
        <w:t>31</w:t>
      </w:r>
      <w:r w:rsidR="001535FC">
        <w:rPr>
          <w:sz w:val="22"/>
          <w:szCs w:val="22"/>
        </w:rPr>
        <w:t>.0</w:t>
      </w:r>
      <w:r w:rsidR="00361F79">
        <w:rPr>
          <w:sz w:val="22"/>
          <w:szCs w:val="22"/>
        </w:rPr>
        <w:t>5</w:t>
      </w:r>
      <w:r w:rsidR="001535FC">
        <w:rPr>
          <w:sz w:val="22"/>
          <w:szCs w:val="22"/>
        </w:rPr>
        <w:t xml:space="preserve">.2022 </w:t>
      </w:r>
      <w:r w:rsidR="001535FC" w:rsidRPr="001535FC">
        <w:rPr>
          <w:sz w:val="22"/>
          <w:szCs w:val="22"/>
        </w:rPr>
        <w:t>uznesením č. 2</w:t>
      </w:r>
      <w:r w:rsidR="00361F79">
        <w:rPr>
          <w:sz w:val="22"/>
          <w:szCs w:val="22"/>
        </w:rPr>
        <w:t>5</w:t>
      </w:r>
      <w:r w:rsidR="001535FC" w:rsidRPr="001535FC">
        <w:rPr>
          <w:sz w:val="22"/>
          <w:szCs w:val="22"/>
        </w:rPr>
        <w:t>/2022</w:t>
      </w:r>
      <w:r w:rsidR="001535FC">
        <w:rPr>
          <w:sz w:val="22"/>
          <w:szCs w:val="22"/>
        </w:rPr>
        <w:t>.</w:t>
      </w:r>
      <w:r w:rsidRPr="00094181">
        <w:rPr>
          <w:sz w:val="22"/>
          <w:szCs w:val="22"/>
        </w:rPr>
        <w:t xml:space="preserve"> </w:t>
      </w:r>
    </w:p>
    <w:p w14:paraId="7E2B4BC3" w14:textId="67AD7BD0" w:rsidR="00C63DE7" w:rsidRDefault="00C63DE7" w:rsidP="0087675E">
      <w:pPr>
        <w:widowControl/>
        <w:autoSpaceDE/>
        <w:autoSpaceDN/>
        <w:adjustRightInd/>
        <w:spacing w:before="80" w:line="276" w:lineRule="auto"/>
        <w:ind w:left="284"/>
        <w:jc w:val="both"/>
        <w:rPr>
          <w:sz w:val="22"/>
          <w:szCs w:val="22"/>
        </w:rPr>
      </w:pPr>
      <w:r w:rsidRPr="00094181">
        <w:rPr>
          <w:sz w:val="22"/>
          <w:szCs w:val="22"/>
        </w:rPr>
        <w:t xml:space="preserve">Po ukončení procesu posudzovania vplyvov na životné prostredie podľa zákona </w:t>
      </w:r>
      <w:r w:rsidR="00057B91">
        <w:rPr>
          <w:sz w:val="22"/>
          <w:szCs w:val="22"/>
        </w:rPr>
        <w:t>o EIA</w:t>
      </w:r>
      <w:r w:rsidR="00910C7C" w:rsidRPr="00094181">
        <w:rPr>
          <w:sz w:val="22"/>
          <w:szCs w:val="22"/>
        </w:rPr>
        <w:t xml:space="preserve"> RO pre IROP </w:t>
      </w:r>
      <w:r w:rsidR="00EB4EE8" w:rsidRPr="00094181">
        <w:rPr>
          <w:sz w:val="22"/>
          <w:szCs w:val="22"/>
        </w:rPr>
        <w:t xml:space="preserve">v súlade so Systémom riadenia európskych štrukturálnych a investičných fondov na programové obdobie 2014 – 2020 (ďalej aj „SR EŠIF“) </w:t>
      </w:r>
      <w:r w:rsidR="00910C7C" w:rsidRPr="00094181">
        <w:rPr>
          <w:sz w:val="22"/>
          <w:szCs w:val="22"/>
        </w:rPr>
        <w:t xml:space="preserve">predloží </w:t>
      </w:r>
      <w:r w:rsidR="003D3DC1" w:rsidRPr="00094181">
        <w:rPr>
          <w:sz w:val="22"/>
          <w:szCs w:val="22"/>
        </w:rPr>
        <w:t xml:space="preserve">zmeny IROP (verzia </w:t>
      </w:r>
      <w:r w:rsidR="00377D51">
        <w:rPr>
          <w:sz w:val="22"/>
          <w:szCs w:val="22"/>
        </w:rPr>
        <w:t>1</w:t>
      </w:r>
      <w:r w:rsidR="00597B23">
        <w:rPr>
          <w:sz w:val="22"/>
          <w:szCs w:val="22"/>
        </w:rPr>
        <w:t>2</w:t>
      </w:r>
      <w:r w:rsidR="003D3DC1" w:rsidRPr="00094181">
        <w:rPr>
          <w:sz w:val="22"/>
          <w:szCs w:val="22"/>
        </w:rPr>
        <w:t xml:space="preserve">.0) </w:t>
      </w:r>
      <w:r w:rsidR="009D5641" w:rsidRPr="00094181">
        <w:rPr>
          <w:sz w:val="22"/>
          <w:szCs w:val="22"/>
        </w:rPr>
        <w:t xml:space="preserve">na </w:t>
      </w:r>
      <w:r w:rsidRPr="00094181">
        <w:rPr>
          <w:sz w:val="22"/>
          <w:szCs w:val="22"/>
        </w:rPr>
        <w:t xml:space="preserve">posúdenie </w:t>
      </w:r>
      <w:r w:rsidR="00C2777D">
        <w:rPr>
          <w:sz w:val="22"/>
          <w:szCs w:val="22"/>
        </w:rPr>
        <w:t xml:space="preserve">a schválenie </w:t>
      </w:r>
      <w:r w:rsidRPr="00094181">
        <w:rPr>
          <w:sz w:val="22"/>
          <w:szCs w:val="22"/>
        </w:rPr>
        <w:t>Európskej komisi</w:t>
      </w:r>
      <w:r w:rsidR="003D3DC1" w:rsidRPr="00094181">
        <w:rPr>
          <w:sz w:val="22"/>
          <w:szCs w:val="22"/>
        </w:rPr>
        <w:t>i</w:t>
      </w:r>
      <w:r w:rsidRPr="00094181">
        <w:rPr>
          <w:sz w:val="22"/>
          <w:szCs w:val="22"/>
        </w:rPr>
        <w:t xml:space="preserve">. </w:t>
      </w:r>
    </w:p>
    <w:p w14:paraId="38B9956F" w14:textId="59DC3638" w:rsidR="00E54ACB" w:rsidRPr="00F510FE" w:rsidRDefault="001C3089" w:rsidP="0087675E">
      <w:pPr>
        <w:widowControl/>
        <w:autoSpaceDE/>
        <w:autoSpaceDN/>
        <w:adjustRightInd/>
        <w:spacing w:before="80" w:line="276" w:lineRule="auto"/>
        <w:ind w:left="284"/>
        <w:jc w:val="both"/>
        <w:rPr>
          <w:sz w:val="22"/>
          <w:szCs w:val="22"/>
        </w:rPr>
      </w:pPr>
      <w:r w:rsidRPr="00F510FE">
        <w:rPr>
          <w:sz w:val="22"/>
          <w:szCs w:val="22"/>
        </w:rPr>
        <w:t xml:space="preserve">Navrhovaný </w:t>
      </w:r>
      <w:r w:rsidR="00E54ACB" w:rsidRPr="00F510FE">
        <w:rPr>
          <w:sz w:val="22"/>
          <w:szCs w:val="22"/>
        </w:rPr>
        <w:t>vecný a časový harmonogram prípravy</w:t>
      </w:r>
      <w:r w:rsidR="001F6EA7" w:rsidRPr="00F510FE">
        <w:rPr>
          <w:sz w:val="22"/>
          <w:szCs w:val="22"/>
        </w:rPr>
        <w:t xml:space="preserve"> </w:t>
      </w:r>
      <w:r w:rsidR="003D3DC1" w:rsidRPr="00F510FE">
        <w:rPr>
          <w:sz w:val="22"/>
          <w:szCs w:val="22"/>
        </w:rPr>
        <w:t>zmeny</w:t>
      </w:r>
      <w:r w:rsidR="001F6EA7" w:rsidRPr="00F510FE">
        <w:rPr>
          <w:sz w:val="22"/>
          <w:szCs w:val="22"/>
        </w:rPr>
        <w:t xml:space="preserve"> IROP </w:t>
      </w:r>
      <w:r w:rsidR="003D3DC1" w:rsidRPr="00F510FE">
        <w:rPr>
          <w:sz w:val="22"/>
          <w:szCs w:val="22"/>
        </w:rPr>
        <w:t>(</w:t>
      </w:r>
      <w:r w:rsidR="001F6EA7" w:rsidRPr="00F510FE">
        <w:rPr>
          <w:sz w:val="22"/>
          <w:szCs w:val="22"/>
        </w:rPr>
        <w:t xml:space="preserve">verzia </w:t>
      </w:r>
      <w:r w:rsidR="00377D51">
        <w:rPr>
          <w:sz w:val="22"/>
          <w:szCs w:val="22"/>
        </w:rPr>
        <w:t>1</w:t>
      </w:r>
      <w:r w:rsidR="00597B23">
        <w:rPr>
          <w:sz w:val="22"/>
          <w:szCs w:val="22"/>
        </w:rPr>
        <w:t>2</w:t>
      </w:r>
      <w:r w:rsidR="00072B20" w:rsidRPr="00F510FE">
        <w:rPr>
          <w:sz w:val="22"/>
          <w:szCs w:val="22"/>
        </w:rPr>
        <w:t>.0</w:t>
      </w:r>
      <w:r w:rsidR="003D3DC1" w:rsidRPr="00F510FE">
        <w:rPr>
          <w:sz w:val="22"/>
          <w:szCs w:val="22"/>
        </w:rPr>
        <w:t>)</w:t>
      </w:r>
      <w:r w:rsidR="00E54ACB" w:rsidRPr="00F510FE">
        <w:rPr>
          <w:sz w:val="22"/>
          <w:szCs w:val="22"/>
        </w:rPr>
        <w:t>:</w:t>
      </w: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726"/>
        <w:gridCol w:w="2126"/>
      </w:tblGrid>
      <w:tr w:rsidR="005A0A06" w:rsidRPr="00F510FE" w14:paraId="210882AD" w14:textId="77777777" w:rsidTr="00F510FE">
        <w:trPr>
          <w:trHeight w:val="312"/>
        </w:trPr>
        <w:tc>
          <w:tcPr>
            <w:tcW w:w="6726" w:type="dxa"/>
            <w:tcBorders>
              <w:top w:val="single" w:sz="6" w:space="0" w:color="auto"/>
              <w:left w:val="single" w:sz="6" w:space="0" w:color="auto"/>
              <w:bottom w:val="single" w:sz="6" w:space="0" w:color="auto"/>
              <w:right w:val="single" w:sz="6" w:space="0" w:color="auto"/>
            </w:tcBorders>
            <w:shd w:val="clear" w:color="auto" w:fill="auto"/>
            <w:vAlign w:val="center"/>
          </w:tcPr>
          <w:p w14:paraId="0C4FCCCA" w14:textId="77777777" w:rsidR="005A0A06" w:rsidRPr="00F510FE" w:rsidRDefault="005A0A06" w:rsidP="00DC39FD">
            <w:pPr>
              <w:spacing w:line="276" w:lineRule="auto"/>
              <w:jc w:val="center"/>
              <w:rPr>
                <w:b/>
                <w:bCs/>
                <w:i/>
                <w:iCs/>
              </w:rPr>
            </w:pPr>
            <w:r w:rsidRPr="00F510FE">
              <w:rPr>
                <w:b/>
                <w:bCs/>
                <w:i/>
                <w:iCs/>
                <w:sz w:val="22"/>
                <w:szCs w:val="22"/>
              </w:rPr>
              <w:t>Popis aktivity</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7008A5" w14:textId="77777777" w:rsidR="005A0A06" w:rsidRPr="00F510FE" w:rsidRDefault="005A0A06" w:rsidP="00DC39FD">
            <w:pPr>
              <w:spacing w:line="276" w:lineRule="auto"/>
              <w:ind w:left="8"/>
              <w:jc w:val="center"/>
              <w:rPr>
                <w:b/>
                <w:bCs/>
                <w:i/>
                <w:iCs/>
              </w:rPr>
            </w:pPr>
            <w:r w:rsidRPr="00F510FE">
              <w:rPr>
                <w:b/>
                <w:bCs/>
                <w:i/>
                <w:iCs/>
                <w:sz w:val="22"/>
                <w:szCs w:val="22"/>
              </w:rPr>
              <w:t>Ukončenie</w:t>
            </w:r>
          </w:p>
        </w:tc>
      </w:tr>
      <w:tr w:rsidR="00E84FB4" w:rsidRPr="00F510FE" w14:paraId="2F01584F" w14:textId="77777777" w:rsidTr="00F510FE">
        <w:trPr>
          <w:trHeight w:val="312"/>
        </w:trPr>
        <w:tc>
          <w:tcPr>
            <w:tcW w:w="6726" w:type="dxa"/>
            <w:tcBorders>
              <w:top w:val="single" w:sz="6" w:space="0" w:color="auto"/>
              <w:left w:val="single" w:sz="6" w:space="0" w:color="auto"/>
              <w:bottom w:val="single" w:sz="6" w:space="0" w:color="auto"/>
              <w:right w:val="single" w:sz="6" w:space="0" w:color="auto"/>
            </w:tcBorders>
            <w:shd w:val="clear" w:color="auto" w:fill="auto"/>
            <w:vAlign w:val="center"/>
          </w:tcPr>
          <w:p w14:paraId="2D2723DA" w14:textId="16B6CF80" w:rsidR="00E84FB4" w:rsidRPr="00F510FE" w:rsidRDefault="00E84FB4" w:rsidP="00DC39FD">
            <w:pPr>
              <w:spacing w:line="276" w:lineRule="auto"/>
              <w:rPr>
                <w:b/>
                <w:bCs/>
                <w:i/>
                <w:iCs/>
                <w:sz w:val="22"/>
                <w:szCs w:val="22"/>
              </w:rPr>
            </w:pPr>
            <w:r w:rsidRPr="00F510FE">
              <w:rPr>
                <w:sz w:val="22"/>
                <w:szCs w:val="22"/>
              </w:rPr>
              <w:t>Predloženie návrhu zmeny IROP monitorovaciemu výboru IROP</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9728B4" w14:textId="0059B1F9" w:rsidR="00E84FB4" w:rsidRPr="00F510FE" w:rsidRDefault="00C77E3C" w:rsidP="00DC39FD">
            <w:pPr>
              <w:spacing w:line="276" w:lineRule="auto"/>
              <w:jc w:val="center"/>
              <w:rPr>
                <w:b/>
                <w:bCs/>
                <w:i/>
                <w:iCs/>
                <w:sz w:val="22"/>
                <w:szCs w:val="22"/>
              </w:rPr>
            </w:pPr>
            <w:r>
              <w:rPr>
                <w:sz w:val="22"/>
                <w:szCs w:val="22"/>
              </w:rPr>
              <w:t>máj</w:t>
            </w:r>
            <w:r w:rsidR="00377D51">
              <w:rPr>
                <w:sz w:val="22"/>
                <w:szCs w:val="22"/>
              </w:rPr>
              <w:t xml:space="preserve"> 2022</w:t>
            </w:r>
          </w:p>
        </w:tc>
      </w:tr>
      <w:tr w:rsidR="005A0A06" w:rsidRPr="00F510FE" w14:paraId="1F97230E" w14:textId="77777777" w:rsidTr="00F510FE">
        <w:trPr>
          <w:trHeight w:val="312"/>
        </w:trPr>
        <w:tc>
          <w:tcPr>
            <w:tcW w:w="6726" w:type="dxa"/>
            <w:tcBorders>
              <w:top w:val="single" w:sz="6" w:space="0" w:color="auto"/>
              <w:left w:val="single" w:sz="6" w:space="0" w:color="auto"/>
              <w:bottom w:val="single" w:sz="6" w:space="0" w:color="auto"/>
              <w:right w:val="single" w:sz="6" w:space="0" w:color="auto"/>
            </w:tcBorders>
            <w:shd w:val="clear" w:color="auto" w:fill="auto"/>
            <w:vAlign w:val="center"/>
          </w:tcPr>
          <w:p w14:paraId="5E89ED81" w14:textId="74E455EA" w:rsidR="005A0A06" w:rsidRPr="00F510FE" w:rsidRDefault="001C3089" w:rsidP="00377D51">
            <w:pPr>
              <w:spacing w:line="276" w:lineRule="auto"/>
            </w:pPr>
            <w:r w:rsidRPr="00F510FE">
              <w:rPr>
                <w:sz w:val="22"/>
                <w:szCs w:val="22"/>
              </w:rPr>
              <w:t xml:space="preserve">Ukončenie </w:t>
            </w:r>
            <w:r w:rsidR="00377D51">
              <w:rPr>
                <w:sz w:val="22"/>
                <w:szCs w:val="22"/>
              </w:rPr>
              <w:t>zisťovacieho konania</w:t>
            </w:r>
            <w:r w:rsidRPr="00F510FE">
              <w:rPr>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6952B7" w14:textId="15F6F8C3" w:rsidR="005A0A06" w:rsidRPr="00F510FE" w:rsidRDefault="00C77E3C" w:rsidP="00377D51">
            <w:pPr>
              <w:spacing w:line="276" w:lineRule="auto"/>
              <w:jc w:val="center"/>
            </w:pPr>
            <w:r>
              <w:rPr>
                <w:sz w:val="22"/>
                <w:szCs w:val="22"/>
              </w:rPr>
              <w:t>júl</w:t>
            </w:r>
            <w:r w:rsidR="00A2796E" w:rsidRPr="00F510FE">
              <w:rPr>
                <w:sz w:val="22"/>
                <w:szCs w:val="22"/>
              </w:rPr>
              <w:t xml:space="preserve"> </w:t>
            </w:r>
            <w:r w:rsidR="00377D51">
              <w:rPr>
                <w:sz w:val="22"/>
                <w:szCs w:val="22"/>
              </w:rPr>
              <w:t>2022</w:t>
            </w:r>
          </w:p>
        </w:tc>
      </w:tr>
      <w:tr w:rsidR="005A0A06" w:rsidRPr="00F510FE" w14:paraId="4C1FE984" w14:textId="77777777" w:rsidTr="00F510FE">
        <w:trPr>
          <w:trHeight w:val="312"/>
        </w:trPr>
        <w:tc>
          <w:tcPr>
            <w:tcW w:w="6726" w:type="dxa"/>
            <w:tcBorders>
              <w:top w:val="single" w:sz="6" w:space="0" w:color="auto"/>
              <w:left w:val="single" w:sz="6" w:space="0" w:color="auto"/>
              <w:bottom w:val="single" w:sz="6" w:space="0" w:color="auto"/>
              <w:right w:val="single" w:sz="6" w:space="0" w:color="auto"/>
            </w:tcBorders>
            <w:shd w:val="clear" w:color="auto" w:fill="auto"/>
            <w:vAlign w:val="center"/>
          </w:tcPr>
          <w:p w14:paraId="11D84219" w14:textId="77777777" w:rsidR="005A0A06" w:rsidRPr="00F510FE" w:rsidRDefault="005A0A06" w:rsidP="00DC39FD">
            <w:pPr>
              <w:spacing w:line="276" w:lineRule="auto"/>
            </w:pPr>
            <w:r w:rsidRPr="00F510FE">
              <w:rPr>
                <w:sz w:val="22"/>
                <w:szCs w:val="22"/>
              </w:rPr>
              <w:t xml:space="preserve">Predloženie návrhu </w:t>
            </w:r>
            <w:r w:rsidR="00EB4EE8" w:rsidRPr="00F510FE">
              <w:rPr>
                <w:sz w:val="22"/>
                <w:szCs w:val="22"/>
              </w:rPr>
              <w:t xml:space="preserve">zmeny </w:t>
            </w:r>
            <w:r w:rsidRPr="00F510FE">
              <w:rPr>
                <w:sz w:val="22"/>
                <w:szCs w:val="22"/>
              </w:rPr>
              <w:t xml:space="preserve">IROP na oficiálne schvaľovanie EK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6C770D" w14:textId="43480F96" w:rsidR="005A0A06" w:rsidRPr="00F510FE" w:rsidRDefault="00C77E3C" w:rsidP="00377D51">
            <w:pPr>
              <w:spacing w:line="276" w:lineRule="auto"/>
              <w:jc w:val="center"/>
            </w:pPr>
            <w:r>
              <w:rPr>
                <w:sz w:val="22"/>
                <w:szCs w:val="22"/>
              </w:rPr>
              <w:t>jún</w:t>
            </w:r>
            <w:r w:rsidR="00A2796E" w:rsidRPr="00F510FE">
              <w:rPr>
                <w:sz w:val="22"/>
                <w:szCs w:val="22"/>
              </w:rPr>
              <w:t xml:space="preserve"> </w:t>
            </w:r>
            <w:r w:rsidR="00377D51">
              <w:rPr>
                <w:sz w:val="22"/>
                <w:szCs w:val="22"/>
              </w:rPr>
              <w:t>2022</w:t>
            </w:r>
          </w:p>
        </w:tc>
      </w:tr>
    </w:tbl>
    <w:p w14:paraId="668F5294" w14:textId="52428EC9" w:rsidR="00E54ACB" w:rsidRPr="00F510FE" w:rsidRDefault="003D3DC1" w:rsidP="00DC39FD">
      <w:pPr>
        <w:spacing w:before="240" w:line="276" w:lineRule="auto"/>
        <w:ind w:left="284" w:hanging="284"/>
        <w:jc w:val="both"/>
        <w:rPr>
          <w:b/>
          <w:bCs/>
          <w:sz w:val="22"/>
          <w:szCs w:val="22"/>
        </w:rPr>
      </w:pPr>
      <w:r w:rsidRPr="00F510FE">
        <w:rPr>
          <w:b/>
          <w:bCs/>
          <w:sz w:val="22"/>
          <w:szCs w:val="22"/>
        </w:rPr>
        <w:t>7</w:t>
      </w:r>
      <w:r w:rsidR="00D6402D" w:rsidRPr="00F510FE">
        <w:rPr>
          <w:b/>
          <w:bCs/>
          <w:sz w:val="22"/>
          <w:szCs w:val="22"/>
        </w:rPr>
        <w:t>.</w:t>
      </w:r>
      <w:r w:rsidR="00E54ACB" w:rsidRPr="00F510FE">
        <w:rPr>
          <w:b/>
          <w:bCs/>
          <w:sz w:val="22"/>
          <w:szCs w:val="22"/>
        </w:rPr>
        <w:tab/>
        <w:t>Vzťah k iným strategickým dokumentom</w:t>
      </w:r>
    </w:p>
    <w:p w14:paraId="2ED36F27" w14:textId="6A2EEBD3" w:rsidR="00E54ACB" w:rsidRPr="00F510FE" w:rsidRDefault="001C3089" w:rsidP="0087675E">
      <w:pPr>
        <w:spacing w:before="80" w:after="60" w:line="276" w:lineRule="auto"/>
        <w:ind w:left="284"/>
        <w:jc w:val="both"/>
        <w:rPr>
          <w:i/>
          <w:sz w:val="22"/>
          <w:szCs w:val="22"/>
        </w:rPr>
      </w:pPr>
      <w:r w:rsidRPr="00F510FE">
        <w:rPr>
          <w:i/>
          <w:sz w:val="22"/>
          <w:szCs w:val="22"/>
        </w:rPr>
        <w:t>Strategické dokumenty a politiky EÚ</w:t>
      </w:r>
    </w:p>
    <w:p w14:paraId="005BFE45" w14:textId="77777777" w:rsidR="006E3F06" w:rsidRPr="00F510FE" w:rsidRDefault="006E3F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t>Spoločný strategický rámec,</w:t>
      </w:r>
    </w:p>
    <w:p w14:paraId="64363B09" w14:textId="77777777" w:rsidR="005A0A06" w:rsidRPr="00F510FE" w:rsidRDefault="006E3F06" w:rsidP="0087675E">
      <w:pPr>
        <w:pStyle w:val="Odsekzoznamu"/>
        <w:numPr>
          <w:ilvl w:val="0"/>
          <w:numId w:val="1"/>
        </w:numPr>
        <w:spacing w:after="0"/>
        <w:ind w:left="567" w:hanging="142"/>
        <w:contextualSpacing w:val="0"/>
        <w:jc w:val="both"/>
        <w:rPr>
          <w:rFonts w:ascii="Arial" w:hAnsi="Arial" w:cs="Arial"/>
          <w:spacing w:val="-2"/>
        </w:rPr>
      </w:pPr>
      <w:r w:rsidRPr="00F510FE">
        <w:rPr>
          <w:rFonts w:ascii="Arial" w:hAnsi="Arial" w:cs="Arial"/>
          <w:spacing w:val="-2"/>
        </w:rPr>
        <w:t xml:space="preserve">Európa 2020 </w:t>
      </w:r>
      <w:r w:rsidR="005A0A06" w:rsidRPr="00F510FE">
        <w:rPr>
          <w:rFonts w:ascii="Arial" w:hAnsi="Arial" w:cs="Arial"/>
          <w:spacing w:val="-2"/>
        </w:rPr>
        <w:t>Stratégia na zabezpečenie inteligentného, ud</w:t>
      </w:r>
      <w:r w:rsidRPr="00F510FE">
        <w:rPr>
          <w:rFonts w:ascii="Arial" w:hAnsi="Arial" w:cs="Arial"/>
          <w:spacing w:val="-2"/>
        </w:rPr>
        <w:t>ržateľného a </w:t>
      </w:r>
      <w:proofErr w:type="spellStart"/>
      <w:r w:rsidRPr="00F510FE">
        <w:rPr>
          <w:rFonts w:ascii="Arial" w:hAnsi="Arial" w:cs="Arial"/>
          <w:spacing w:val="-2"/>
        </w:rPr>
        <w:t>inkluzívneho</w:t>
      </w:r>
      <w:proofErr w:type="spellEnd"/>
      <w:r w:rsidRPr="00F510FE">
        <w:rPr>
          <w:rFonts w:ascii="Arial" w:hAnsi="Arial" w:cs="Arial"/>
          <w:spacing w:val="-2"/>
        </w:rPr>
        <w:t xml:space="preserve"> rastu,</w:t>
      </w:r>
    </w:p>
    <w:p w14:paraId="0F83BB4A" w14:textId="77777777" w:rsidR="006E3F06" w:rsidRPr="00F510FE" w:rsidRDefault="006E3F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t>Strategické usmernenia Spoločenstva,</w:t>
      </w:r>
    </w:p>
    <w:p w14:paraId="4BB4C0C7" w14:textId="77777777" w:rsidR="006E3F06" w:rsidRPr="00F510FE" w:rsidRDefault="006E3F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lastRenderedPageBreak/>
        <w:t>Lisabonská stratégia,</w:t>
      </w:r>
    </w:p>
    <w:p w14:paraId="7054634A" w14:textId="77777777" w:rsidR="006E3F06" w:rsidRPr="00F510FE" w:rsidRDefault="005A0A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t>Odporúčania Rady, ktoré sa týka národného programu reforiem Slovenska</w:t>
      </w:r>
      <w:r w:rsidR="006E3F06" w:rsidRPr="00F510FE">
        <w:rPr>
          <w:rFonts w:ascii="Arial" w:hAnsi="Arial" w:cs="Arial"/>
        </w:rPr>
        <w:t>,</w:t>
      </w:r>
      <w:r w:rsidRPr="00F510FE">
        <w:rPr>
          <w:rFonts w:ascii="Arial" w:hAnsi="Arial" w:cs="Arial"/>
        </w:rPr>
        <w:t xml:space="preserve"> </w:t>
      </w:r>
    </w:p>
    <w:p w14:paraId="7071F548" w14:textId="77777777" w:rsidR="005A0A06" w:rsidRPr="00F510FE" w:rsidRDefault="005A0A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t>Pozičný dokument EK</w:t>
      </w:r>
      <w:r w:rsidR="006E3F06" w:rsidRPr="00F510FE">
        <w:rPr>
          <w:rFonts w:ascii="Arial" w:hAnsi="Arial" w:cs="Arial"/>
        </w:rPr>
        <w:t>,</w:t>
      </w:r>
    </w:p>
    <w:p w14:paraId="5EDBBE78" w14:textId="77777777" w:rsidR="006E3F06" w:rsidRPr="00F510FE" w:rsidRDefault="006E3F06" w:rsidP="0087675E">
      <w:pPr>
        <w:pStyle w:val="Odsekzoznamu"/>
        <w:numPr>
          <w:ilvl w:val="0"/>
          <w:numId w:val="1"/>
        </w:numPr>
        <w:spacing w:after="0"/>
        <w:ind w:left="567" w:hanging="142"/>
        <w:contextualSpacing w:val="0"/>
        <w:jc w:val="both"/>
        <w:rPr>
          <w:rFonts w:ascii="Arial" w:hAnsi="Arial" w:cs="Arial"/>
        </w:rPr>
      </w:pPr>
      <w:r w:rsidRPr="00F510FE">
        <w:rPr>
          <w:rFonts w:ascii="Arial" w:hAnsi="Arial" w:cs="Arial"/>
        </w:rPr>
        <w:t>Legislatíva ES v oblasti kohéznej politiky</w:t>
      </w:r>
      <w:r w:rsidR="00F01880" w:rsidRPr="00F510FE">
        <w:rPr>
          <w:rFonts w:ascii="Arial" w:hAnsi="Arial" w:cs="Arial"/>
        </w:rPr>
        <w:t>.</w:t>
      </w:r>
    </w:p>
    <w:p w14:paraId="03E1DECA" w14:textId="5586EBF0" w:rsidR="001C3089" w:rsidRPr="00F510FE" w:rsidRDefault="001C3089" w:rsidP="0087675E">
      <w:pPr>
        <w:spacing w:before="80" w:after="60" w:line="276" w:lineRule="auto"/>
        <w:ind w:left="284"/>
        <w:jc w:val="both"/>
        <w:rPr>
          <w:i/>
          <w:sz w:val="22"/>
          <w:szCs w:val="22"/>
        </w:rPr>
      </w:pPr>
      <w:r w:rsidRPr="00F510FE">
        <w:rPr>
          <w:i/>
          <w:sz w:val="22"/>
          <w:szCs w:val="22"/>
        </w:rPr>
        <w:t>Strategické dokumenty a politiky SR</w:t>
      </w:r>
    </w:p>
    <w:p w14:paraId="0B2C9B6A" w14:textId="117C7D02" w:rsidR="00F01880" w:rsidRPr="00094181" w:rsidRDefault="006E3F06"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Národná stratégia trvalo</w:t>
      </w:r>
      <w:r w:rsidR="00677249">
        <w:rPr>
          <w:rFonts w:ascii="Arial" w:hAnsi="Arial" w:cs="Arial"/>
        </w:rPr>
        <w:t xml:space="preserve"> </w:t>
      </w:r>
      <w:r w:rsidRPr="00094181">
        <w:rPr>
          <w:rFonts w:ascii="Arial" w:hAnsi="Arial" w:cs="Arial"/>
        </w:rPr>
        <w:t>udržateľného rozvoja</w:t>
      </w:r>
      <w:r w:rsidR="00F01880" w:rsidRPr="00094181">
        <w:rPr>
          <w:rFonts w:ascii="Arial" w:hAnsi="Arial" w:cs="Arial"/>
        </w:rPr>
        <w:t>,</w:t>
      </w:r>
    </w:p>
    <w:p w14:paraId="79E21799" w14:textId="71B04B7B" w:rsidR="007C54F5" w:rsidRPr="007C54F5" w:rsidRDefault="007C54F5" w:rsidP="0087675E">
      <w:pPr>
        <w:pStyle w:val="Odsekzoznamu"/>
        <w:numPr>
          <w:ilvl w:val="0"/>
          <w:numId w:val="1"/>
        </w:numPr>
        <w:spacing w:after="0"/>
        <w:ind w:left="567" w:hanging="142"/>
        <w:contextualSpacing w:val="0"/>
        <w:jc w:val="both"/>
        <w:rPr>
          <w:rFonts w:ascii="Arial" w:hAnsi="Arial" w:cs="Arial"/>
        </w:rPr>
      </w:pPr>
      <w:r w:rsidRPr="001210AA">
        <w:rPr>
          <w:rFonts w:ascii="Arial" w:hAnsi="Arial" w:cs="Arial"/>
        </w:rPr>
        <w:t>Strategický plán rozvoja dopravnej infraštruktúry SR do roku 2020</w:t>
      </w:r>
    </w:p>
    <w:p w14:paraId="7B0B812F" w14:textId="0367E0A3" w:rsidR="007C54F5" w:rsidRPr="007C54F5" w:rsidRDefault="007C54F5" w:rsidP="0087675E">
      <w:pPr>
        <w:pStyle w:val="Odsekzoznamu"/>
        <w:numPr>
          <w:ilvl w:val="0"/>
          <w:numId w:val="1"/>
        </w:numPr>
        <w:spacing w:after="0"/>
        <w:ind w:left="567" w:hanging="142"/>
        <w:contextualSpacing w:val="0"/>
        <w:jc w:val="both"/>
        <w:rPr>
          <w:rFonts w:ascii="Arial" w:hAnsi="Arial" w:cs="Arial"/>
        </w:rPr>
      </w:pPr>
      <w:r w:rsidRPr="001210AA">
        <w:rPr>
          <w:rFonts w:ascii="Arial" w:hAnsi="Arial" w:cs="Arial"/>
        </w:rPr>
        <w:t>Stratégia rozvoja verejnej osobnej a nemotorovej dopravy SR do roku 2020</w:t>
      </w:r>
    </w:p>
    <w:p w14:paraId="4952F58B" w14:textId="77777777" w:rsidR="006E3F06" w:rsidRPr="00094181" w:rsidRDefault="006E3F06"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 xml:space="preserve">Národná stratégia rozvoja cyklistickej dopravy a cykloturistiky SR, </w:t>
      </w:r>
    </w:p>
    <w:p w14:paraId="0EA2ACA4" w14:textId="77777777" w:rsidR="006E3F06" w:rsidRPr="00094181" w:rsidRDefault="00137464"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Koncepcia zabezpečenia výkonu súdnych rozhodnutí v zariadeniach sociálnoprávnej ochrany detí a sociálnej kurately detí /Plán transformácie a </w:t>
      </w:r>
      <w:proofErr w:type="spellStart"/>
      <w:r w:rsidRPr="00094181">
        <w:rPr>
          <w:rFonts w:ascii="Arial" w:hAnsi="Arial" w:cs="Arial"/>
        </w:rPr>
        <w:t>deinštitucionalizácie</w:t>
      </w:r>
      <w:proofErr w:type="spellEnd"/>
      <w:r w:rsidRPr="00094181">
        <w:rPr>
          <w:rFonts w:ascii="Arial" w:hAnsi="Arial" w:cs="Arial"/>
        </w:rPr>
        <w:t xml:space="preserve"> náhradnej starostlivosti</w:t>
      </w:r>
      <w:r w:rsidR="006E3F06" w:rsidRPr="00094181">
        <w:rPr>
          <w:rFonts w:ascii="Arial" w:hAnsi="Arial" w:cs="Arial"/>
        </w:rPr>
        <w:t>,</w:t>
      </w:r>
    </w:p>
    <w:p w14:paraId="11C5CC93" w14:textId="77777777" w:rsidR="00F01880" w:rsidRPr="00094181" w:rsidRDefault="006E3F06"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Národný akčný plán prechodu z </w:t>
      </w:r>
      <w:r w:rsidR="00137464" w:rsidRPr="00094181">
        <w:rPr>
          <w:rFonts w:ascii="Arial" w:hAnsi="Arial" w:cs="Arial"/>
        </w:rPr>
        <w:t>inštitucionálnej</w:t>
      </w:r>
      <w:r w:rsidRPr="00094181">
        <w:rPr>
          <w:rFonts w:ascii="Arial" w:hAnsi="Arial" w:cs="Arial"/>
        </w:rPr>
        <w:t xml:space="preserve"> na komunitnú starostlivosť v systéme sociálnych služieb</w:t>
      </w:r>
      <w:r w:rsidR="00F01880" w:rsidRPr="00094181">
        <w:rPr>
          <w:rFonts w:ascii="Arial" w:hAnsi="Arial" w:cs="Arial"/>
        </w:rPr>
        <w:t>,</w:t>
      </w:r>
    </w:p>
    <w:p w14:paraId="683B790E" w14:textId="4CA00183" w:rsidR="00F31CA8" w:rsidRDefault="00F31CA8" w:rsidP="0087675E">
      <w:pPr>
        <w:pStyle w:val="Odsekzoznamu"/>
        <w:numPr>
          <w:ilvl w:val="0"/>
          <w:numId w:val="1"/>
        </w:numPr>
        <w:spacing w:after="0"/>
        <w:ind w:left="567" w:hanging="142"/>
        <w:contextualSpacing w:val="0"/>
        <w:jc w:val="both"/>
        <w:rPr>
          <w:rFonts w:ascii="Arial" w:hAnsi="Arial" w:cs="Arial"/>
        </w:rPr>
      </w:pPr>
      <w:r w:rsidRPr="00F31CA8">
        <w:rPr>
          <w:rFonts w:ascii="Arial" w:hAnsi="Arial" w:cs="Arial"/>
        </w:rPr>
        <w:t>Implementačná stratégia – systém integrovaného poskytovania zdravotnej starostlivosti</w:t>
      </w:r>
    </w:p>
    <w:p w14:paraId="26E26EED" w14:textId="57C64DDE" w:rsidR="007C54F5" w:rsidRPr="007C54F5" w:rsidRDefault="007C54F5" w:rsidP="0087675E">
      <w:pPr>
        <w:pStyle w:val="Odsekzoznamu"/>
        <w:numPr>
          <w:ilvl w:val="0"/>
          <w:numId w:val="1"/>
        </w:numPr>
        <w:spacing w:after="0"/>
        <w:ind w:left="567" w:hanging="142"/>
        <w:contextualSpacing w:val="0"/>
        <w:jc w:val="both"/>
        <w:rPr>
          <w:rFonts w:ascii="Arial" w:hAnsi="Arial" w:cs="Arial"/>
        </w:rPr>
      </w:pPr>
      <w:r w:rsidRPr="001210AA">
        <w:rPr>
          <w:rFonts w:ascii="Arial" w:hAnsi="Arial" w:cs="Arial"/>
        </w:rPr>
        <w:t>Strategický rámec starostlivosti o zdravie pre roky 2014 – 2020</w:t>
      </w:r>
    </w:p>
    <w:p w14:paraId="6C45D155" w14:textId="77777777" w:rsidR="00F01880" w:rsidRPr="00094181" w:rsidRDefault="00F6675E"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 xml:space="preserve">Štátne vzdelávacie programy, </w:t>
      </w:r>
    </w:p>
    <w:p w14:paraId="4D7C90FB" w14:textId="77777777" w:rsidR="006E3F06" w:rsidRPr="00094181" w:rsidRDefault="006E3F06" w:rsidP="0087675E">
      <w:pPr>
        <w:pStyle w:val="Odsekzoznamu"/>
        <w:numPr>
          <w:ilvl w:val="0"/>
          <w:numId w:val="1"/>
        </w:numPr>
        <w:spacing w:after="0"/>
        <w:ind w:left="567" w:hanging="142"/>
        <w:contextualSpacing w:val="0"/>
        <w:jc w:val="both"/>
        <w:rPr>
          <w:rFonts w:ascii="Arial" w:hAnsi="Arial" w:cs="Arial"/>
        </w:rPr>
      </w:pPr>
      <w:r w:rsidRPr="00094181">
        <w:rPr>
          <w:rFonts w:ascii="Arial" w:hAnsi="Arial" w:cs="Arial"/>
        </w:rPr>
        <w:t>Koncepcia územného rozvoja Slovenska.</w:t>
      </w:r>
    </w:p>
    <w:p w14:paraId="5A60BEC5" w14:textId="4C836E3F" w:rsidR="007C54F5" w:rsidRDefault="007C54F5" w:rsidP="0087675E">
      <w:pPr>
        <w:pStyle w:val="Odsekzoznamu"/>
        <w:numPr>
          <w:ilvl w:val="0"/>
          <w:numId w:val="1"/>
        </w:numPr>
        <w:spacing w:after="0"/>
        <w:ind w:left="567" w:hanging="142"/>
        <w:contextualSpacing w:val="0"/>
        <w:jc w:val="both"/>
        <w:rPr>
          <w:rFonts w:ascii="Arial" w:hAnsi="Arial" w:cs="Arial"/>
        </w:rPr>
      </w:pPr>
      <w:r w:rsidRPr="001210AA">
        <w:rPr>
          <w:rFonts w:ascii="Arial" w:hAnsi="Arial" w:cs="Arial"/>
        </w:rPr>
        <w:t>Vodný plán Slovenska</w:t>
      </w:r>
    </w:p>
    <w:p w14:paraId="238863A7" w14:textId="4263B497" w:rsidR="00F31CA8" w:rsidRDefault="00F31CA8" w:rsidP="0087675E">
      <w:pPr>
        <w:pStyle w:val="Odsekzoznamu"/>
        <w:numPr>
          <w:ilvl w:val="0"/>
          <w:numId w:val="1"/>
        </w:numPr>
        <w:spacing w:after="0"/>
        <w:ind w:left="567" w:hanging="142"/>
        <w:contextualSpacing w:val="0"/>
        <w:jc w:val="both"/>
        <w:rPr>
          <w:rFonts w:ascii="Arial" w:hAnsi="Arial" w:cs="Arial"/>
        </w:rPr>
      </w:pPr>
      <w:r w:rsidRPr="00F31CA8">
        <w:rPr>
          <w:rFonts w:ascii="Arial" w:hAnsi="Arial" w:cs="Arial"/>
        </w:rPr>
        <w:t>Plán rozvoja verejných vodovodov pre územie SR</w:t>
      </w:r>
    </w:p>
    <w:p w14:paraId="75DC6E8E" w14:textId="0C1932E8" w:rsidR="007C54F5" w:rsidRDefault="00F31CA8" w:rsidP="0087675E">
      <w:pPr>
        <w:pStyle w:val="Odsekzoznamu"/>
        <w:numPr>
          <w:ilvl w:val="0"/>
          <w:numId w:val="1"/>
        </w:numPr>
        <w:spacing w:after="0"/>
        <w:ind w:left="567" w:hanging="142"/>
        <w:contextualSpacing w:val="0"/>
        <w:jc w:val="both"/>
        <w:rPr>
          <w:rFonts w:ascii="Arial" w:hAnsi="Arial" w:cs="Arial"/>
        </w:rPr>
      </w:pPr>
      <w:r w:rsidRPr="00F31CA8">
        <w:rPr>
          <w:rFonts w:ascii="Arial" w:hAnsi="Arial" w:cs="Arial"/>
        </w:rPr>
        <w:t>Stratégia adaptácie SR na nepriaznivé dôsledky zmeny klímy</w:t>
      </w:r>
    </w:p>
    <w:p w14:paraId="281CCADF" w14:textId="741D2799" w:rsidR="00F818A2" w:rsidRDefault="00F818A2" w:rsidP="0087675E">
      <w:pPr>
        <w:pStyle w:val="Odsekzoznamu"/>
        <w:numPr>
          <w:ilvl w:val="0"/>
          <w:numId w:val="1"/>
        </w:numPr>
        <w:spacing w:after="0"/>
        <w:ind w:left="567" w:hanging="142"/>
        <w:contextualSpacing w:val="0"/>
        <w:jc w:val="both"/>
        <w:rPr>
          <w:rFonts w:ascii="Arial" w:hAnsi="Arial" w:cs="Arial"/>
        </w:rPr>
      </w:pPr>
      <w:r w:rsidRPr="00E16A8C">
        <w:rPr>
          <w:rFonts w:ascii="Arial" w:hAnsi="Arial" w:cs="Arial"/>
        </w:rPr>
        <w:t>Stratégia obnovy fondu bytových a nebytových budov v Slovenskej republike</w:t>
      </w:r>
    </w:p>
    <w:p w14:paraId="280D69E5" w14:textId="38E0EE25" w:rsidR="00F818A2" w:rsidRDefault="00F818A2" w:rsidP="0087675E">
      <w:pPr>
        <w:pStyle w:val="Odsekzoznamu"/>
        <w:numPr>
          <w:ilvl w:val="0"/>
          <w:numId w:val="1"/>
        </w:numPr>
        <w:spacing w:after="0"/>
        <w:ind w:left="567" w:hanging="142"/>
        <w:contextualSpacing w:val="0"/>
        <w:jc w:val="both"/>
        <w:rPr>
          <w:rFonts w:ascii="Arial" w:hAnsi="Arial" w:cs="Arial"/>
        </w:rPr>
      </w:pPr>
      <w:r w:rsidRPr="00E16A8C">
        <w:rPr>
          <w:rFonts w:ascii="Arial" w:hAnsi="Arial" w:cs="Arial"/>
        </w:rPr>
        <w:t>Energetická politika SR</w:t>
      </w:r>
    </w:p>
    <w:p w14:paraId="1A940023" w14:textId="0A769074" w:rsidR="00F31CA8" w:rsidRDefault="00F818A2" w:rsidP="0087675E">
      <w:pPr>
        <w:pStyle w:val="Odsekzoznamu"/>
        <w:numPr>
          <w:ilvl w:val="0"/>
          <w:numId w:val="1"/>
        </w:numPr>
        <w:spacing w:after="0"/>
        <w:ind w:left="567" w:hanging="142"/>
        <w:contextualSpacing w:val="0"/>
        <w:jc w:val="both"/>
        <w:rPr>
          <w:rFonts w:ascii="Arial" w:hAnsi="Arial" w:cs="Arial"/>
        </w:rPr>
      </w:pPr>
      <w:r w:rsidRPr="00E16A8C">
        <w:rPr>
          <w:rFonts w:ascii="Arial" w:hAnsi="Arial" w:cs="Arial"/>
        </w:rPr>
        <w:t>Národný plán zameraný na zvyšovanie počtu budov s takmer nulovou potrebou energie</w:t>
      </w:r>
    </w:p>
    <w:p w14:paraId="36CE06FE" w14:textId="61377CA1" w:rsidR="00E54ACB" w:rsidRPr="00F510FE" w:rsidRDefault="00E7729B" w:rsidP="0087675E">
      <w:pPr>
        <w:spacing w:before="80" w:line="276" w:lineRule="auto"/>
        <w:ind w:left="284" w:hanging="284"/>
        <w:jc w:val="both"/>
        <w:rPr>
          <w:b/>
          <w:bCs/>
          <w:sz w:val="22"/>
          <w:szCs w:val="22"/>
        </w:rPr>
      </w:pPr>
      <w:r w:rsidRPr="00F510FE">
        <w:rPr>
          <w:b/>
          <w:bCs/>
          <w:sz w:val="22"/>
          <w:szCs w:val="22"/>
        </w:rPr>
        <w:t>8</w:t>
      </w:r>
      <w:r w:rsidR="00D6402D" w:rsidRPr="00F510FE">
        <w:rPr>
          <w:b/>
          <w:bCs/>
          <w:sz w:val="22"/>
          <w:szCs w:val="22"/>
        </w:rPr>
        <w:t>.</w:t>
      </w:r>
      <w:r w:rsidR="00E54ACB" w:rsidRPr="00F510FE">
        <w:rPr>
          <w:b/>
          <w:bCs/>
          <w:sz w:val="22"/>
          <w:szCs w:val="22"/>
        </w:rPr>
        <w:tab/>
        <w:t>Orgán kompetentný na jeho prijatie</w:t>
      </w:r>
    </w:p>
    <w:p w14:paraId="242FC83B" w14:textId="35C8E0F9" w:rsidR="00FD124E" w:rsidRPr="00F510FE" w:rsidRDefault="00E54ACB" w:rsidP="0087675E">
      <w:pPr>
        <w:spacing w:before="80" w:line="276" w:lineRule="auto"/>
        <w:ind w:left="284"/>
        <w:jc w:val="both"/>
        <w:rPr>
          <w:sz w:val="22"/>
          <w:szCs w:val="22"/>
        </w:rPr>
      </w:pPr>
      <w:r w:rsidRPr="00F510FE">
        <w:rPr>
          <w:sz w:val="22"/>
          <w:szCs w:val="22"/>
        </w:rPr>
        <w:t xml:space="preserve">Európska komisia </w:t>
      </w:r>
    </w:p>
    <w:p w14:paraId="0FF2408E" w14:textId="177BC35E" w:rsidR="00E54ACB" w:rsidRPr="00F510FE" w:rsidRDefault="00E7729B" w:rsidP="0087675E">
      <w:pPr>
        <w:spacing w:before="80" w:line="276" w:lineRule="auto"/>
        <w:ind w:left="284" w:hanging="284"/>
        <w:jc w:val="both"/>
        <w:rPr>
          <w:b/>
          <w:bCs/>
          <w:sz w:val="22"/>
          <w:szCs w:val="22"/>
        </w:rPr>
      </w:pPr>
      <w:r w:rsidRPr="00F510FE">
        <w:rPr>
          <w:b/>
          <w:bCs/>
          <w:sz w:val="22"/>
          <w:szCs w:val="22"/>
        </w:rPr>
        <w:t>9</w:t>
      </w:r>
      <w:r w:rsidR="00E54ACB" w:rsidRPr="00F510FE">
        <w:rPr>
          <w:b/>
          <w:bCs/>
          <w:sz w:val="22"/>
          <w:szCs w:val="22"/>
        </w:rPr>
        <w:t>.</w:t>
      </w:r>
      <w:r w:rsidR="00E54ACB" w:rsidRPr="00F510FE">
        <w:rPr>
          <w:b/>
          <w:bCs/>
          <w:sz w:val="22"/>
          <w:szCs w:val="22"/>
        </w:rPr>
        <w:tab/>
        <w:t xml:space="preserve">Druh schvaľovacieho procesu dokumentu </w:t>
      </w:r>
    </w:p>
    <w:p w14:paraId="23AFBD5C" w14:textId="39B33EA1" w:rsidR="00E54ACB" w:rsidRPr="00F510FE" w:rsidRDefault="00E54ACB" w:rsidP="0087675E">
      <w:pPr>
        <w:spacing w:before="80" w:line="276" w:lineRule="auto"/>
        <w:ind w:left="284"/>
        <w:jc w:val="both"/>
        <w:rPr>
          <w:sz w:val="22"/>
          <w:szCs w:val="22"/>
        </w:rPr>
      </w:pPr>
      <w:r w:rsidRPr="00F510FE">
        <w:rPr>
          <w:sz w:val="22"/>
          <w:szCs w:val="22"/>
        </w:rPr>
        <w:t>Rozhodnutie Európskej komisie</w:t>
      </w:r>
    </w:p>
    <w:p w14:paraId="43267E1A" w14:textId="77777777" w:rsidR="00E54ACB" w:rsidRPr="00F510FE" w:rsidRDefault="00E54ACB" w:rsidP="0087675E">
      <w:pPr>
        <w:spacing w:before="80" w:line="276" w:lineRule="auto"/>
        <w:ind w:left="357" w:hanging="357"/>
        <w:rPr>
          <w:b/>
          <w:bCs/>
          <w:sz w:val="22"/>
          <w:szCs w:val="22"/>
        </w:rPr>
      </w:pPr>
      <w:r w:rsidRPr="00F510FE">
        <w:rPr>
          <w:b/>
          <w:bCs/>
          <w:sz w:val="22"/>
          <w:szCs w:val="22"/>
        </w:rPr>
        <w:t>III.</w:t>
      </w:r>
      <w:r w:rsidRPr="00F510FE">
        <w:rPr>
          <w:b/>
          <w:bCs/>
          <w:sz w:val="22"/>
          <w:szCs w:val="22"/>
        </w:rPr>
        <w:tab/>
        <w:t>Základné údaje o predpokladaných vplyvoch strategického dokumentu na životné prostredie vrátane zdravia</w:t>
      </w:r>
    </w:p>
    <w:p w14:paraId="11D77DEE" w14:textId="77777777" w:rsidR="00E54ACB" w:rsidRPr="00F510FE" w:rsidRDefault="00E54ACB" w:rsidP="0087675E">
      <w:pPr>
        <w:spacing w:before="80" w:line="276" w:lineRule="auto"/>
        <w:ind w:left="284" w:hanging="284"/>
        <w:jc w:val="both"/>
        <w:rPr>
          <w:b/>
          <w:bCs/>
          <w:sz w:val="22"/>
          <w:szCs w:val="22"/>
        </w:rPr>
      </w:pPr>
      <w:r w:rsidRPr="00F510FE">
        <w:rPr>
          <w:b/>
          <w:bCs/>
          <w:sz w:val="22"/>
          <w:szCs w:val="22"/>
        </w:rPr>
        <w:t>1.</w:t>
      </w:r>
      <w:r w:rsidRPr="00F510FE">
        <w:rPr>
          <w:b/>
          <w:bCs/>
          <w:sz w:val="22"/>
          <w:szCs w:val="22"/>
        </w:rPr>
        <w:tab/>
        <w:t>Požiadavky na vstupy.</w:t>
      </w:r>
    </w:p>
    <w:p w14:paraId="057DDD33" w14:textId="4A7B20F2" w:rsidR="00E54ACB" w:rsidRPr="00F510FE" w:rsidRDefault="00212E3B" w:rsidP="0087675E">
      <w:pPr>
        <w:spacing w:before="80" w:line="276" w:lineRule="auto"/>
        <w:ind w:left="284"/>
        <w:jc w:val="both"/>
        <w:rPr>
          <w:sz w:val="22"/>
          <w:szCs w:val="22"/>
        </w:rPr>
      </w:pPr>
      <w:r w:rsidRPr="00F510FE">
        <w:rPr>
          <w:sz w:val="22"/>
          <w:szCs w:val="22"/>
        </w:rPr>
        <w:t>Vstupy pre IROP predstavujú finančné prostriedky z Európskeho fondu regionálneho rozvoja, štátne</w:t>
      </w:r>
      <w:r w:rsidR="002E202A" w:rsidRPr="00F510FE">
        <w:rPr>
          <w:sz w:val="22"/>
          <w:szCs w:val="22"/>
        </w:rPr>
        <w:t>ho</w:t>
      </w:r>
      <w:r w:rsidRPr="00F510FE">
        <w:rPr>
          <w:sz w:val="22"/>
          <w:szCs w:val="22"/>
        </w:rPr>
        <w:t xml:space="preserve"> rozpočtu SR a prostriedky z vlastných zdrojov prijímateľov. </w:t>
      </w:r>
    </w:p>
    <w:p w14:paraId="16EF445B" w14:textId="77777777" w:rsidR="00E54ACB" w:rsidRPr="00F510FE" w:rsidRDefault="00E54ACB" w:rsidP="0087675E">
      <w:pPr>
        <w:spacing w:before="80" w:line="276" w:lineRule="auto"/>
        <w:ind w:left="284" w:hanging="284"/>
        <w:jc w:val="both"/>
        <w:rPr>
          <w:b/>
          <w:bCs/>
          <w:sz w:val="22"/>
          <w:szCs w:val="22"/>
        </w:rPr>
      </w:pPr>
      <w:r w:rsidRPr="00F510FE">
        <w:rPr>
          <w:b/>
          <w:bCs/>
          <w:sz w:val="22"/>
          <w:szCs w:val="22"/>
        </w:rPr>
        <w:t>2.</w:t>
      </w:r>
      <w:r w:rsidRPr="00F510FE">
        <w:rPr>
          <w:b/>
          <w:bCs/>
          <w:sz w:val="22"/>
          <w:szCs w:val="22"/>
        </w:rPr>
        <w:tab/>
        <w:t>Údaje o výstupoch.</w:t>
      </w:r>
    </w:p>
    <w:p w14:paraId="404792C7" w14:textId="51011083" w:rsidR="00E54ACB" w:rsidRDefault="00006D35" w:rsidP="0087675E">
      <w:pPr>
        <w:spacing w:before="80" w:line="276" w:lineRule="auto"/>
        <w:ind w:left="284"/>
        <w:jc w:val="both"/>
        <w:rPr>
          <w:sz w:val="22"/>
          <w:szCs w:val="22"/>
        </w:rPr>
      </w:pPr>
      <w:r w:rsidRPr="00F510FE">
        <w:rPr>
          <w:sz w:val="22"/>
          <w:szCs w:val="22"/>
        </w:rPr>
        <w:t xml:space="preserve">Výstupy </w:t>
      </w:r>
      <w:r w:rsidR="00997776" w:rsidRPr="00F510FE">
        <w:rPr>
          <w:sz w:val="22"/>
          <w:szCs w:val="22"/>
        </w:rPr>
        <w:t>navrhovaných zmien IROP predstavujú najmä úpravy a doplnenia textovej a tabuľkovej časti IROP. Samotný dokument IROP so sledovaním zmien tvorí prílohu tohto oznámenia</w:t>
      </w:r>
      <w:r w:rsidR="006A5BEB" w:rsidRPr="00F510FE">
        <w:rPr>
          <w:sz w:val="22"/>
          <w:szCs w:val="22"/>
        </w:rPr>
        <w:t xml:space="preserve">, názov prílohy: „Integrovaný regionálny operačný program 2014 – 2020, verzia </w:t>
      </w:r>
      <w:r w:rsidR="00597B23">
        <w:rPr>
          <w:sz w:val="22"/>
          <w:szCs w:val="22"/>
        </w:rPr>
        <w:t>12</w:t>
      </w:r>
      <w:r w:rsidR="00072B20" w:rsidRPr="00F510FE">
        <w:rPr>
          <w:sz w:val="22"/>
          <w:szCs w:val="22"/>
        </w:rPr>
        <w:t>.0</w:t>
      </w:r>
      <w:r w:rsidR="006A5BEB" w:rsidRPr="00F510FE">
        <w:rPr>
          <w:sz w:val="22"/>
          <w:szCs w:val="22"/>
        </w:rPr>
        <w:t>“</w:t>
      </w:r>
      <w:r w:rsidR="00997776" w:rsidRPr="00F510FE">
        <w:rPr>
          <w:sz w:val="22"/>
          <w:szCs w:val="22"/>
        </w:rPr>
        <w:t>.</w:t>
      </w:r>
      <w:r w:rsidR="006A5BEB" w:rsidRPr="00F510FE">
        <w:rPr>
          <w:sz w:val="22"/>
          <w:szCs w:val="22"/>
        </w:rPr>
        <w:t xml:space="preserve"> Príloha obsahuje všetky zmeny podľa bod</w:t>
      </w:r>
      <w:r w:rsidR="00E7729B" w:rsidRPr="00F510FE">
        <w:rPr>
          <w:sz w:val="22"/>
          <w:szCs w:val="22"/>
        </w:rPr>
        <w:t>u 4</w:t>
      </w:r>
      <w:r w:rsidR="006A5BEB" w:rsidRPr="00F510FE">
        <w:rPr>
          <w:sz w:val="22"/>
          <w:szCs w:val="22"/>
        </w:rPr>
        <w:t xml:space="preserve"> časti II. tohto dokumentu.</w:t>
      </w:r>
    </w:p>
    <w:p w14:paraId="0AE555BC" w14:textId="77777777" w:rsidR="00FD124E" w:rsidRPr="00F510FE" w:rsidRDefault="00E54ACB" w:rsidP="0087675E">
      <w:pPr>
        <w:spacing w:before="120" w:line="276" w:lineRule="auto"/>
        <w:ind w:left="284" w:hanging="284"/>
        <w:jc w:val="both"/>
        <w:rPr>
          <w:b/>
          <w:bCs/>
          <w:sz w:val="22"/>
          <w:szCs w:val="22"/>
        </w:rPr>
      </w:pPr>
      <w:r w:rsidRPr="00F510FE">
        <w:rPr>
          <w:b/>
          <w:bCs/>
          <w:sz w:val="22"/>
          <w:szCs w:val="22"/>
        </w:rPr>
        <w:t>3.</w:t>
      </w:r>
      <w:r w:rsidRPr="00F510FE">
        <w:rPr>
          <w:b/>
          <w:bCs/>
          <w:sz w:val="22"/>
          <w:szCs w:val="22"/>
        </w:rPr>
        <w:tab/>
        <w:t>Údaje o priamych a nepriamych vplyvoch na životné prostredie.</w:t>
      </w:r>
    </w:p>
    <w:p w14:paraId="551624C5" w14:textId="62178746" w:rsidR="001C3089" w:rsidRPr="00F510FE" w:rsidRDefault="00006D35" w:rsidP="0087675E">
      <w:pPr>
        <w:widowControl/>
        <w:autoSpaceDE/>
        <w:autoSpaceDN/>
        <w:adjustRightInd/>
        <w:spacing w:before="60" w:line="276" w:lineRule="auto"/>
        <w:ind w:left="284"/>
        <w:jc w:val="both"/>
        <w:rPr>
          <w:sz w:val="22"/>
          <w:szCs w:val="22"/>
        </w:rPr>
      </w:pPr>
      <w:r w:rsidRPr="00F510FE">
        <w:rPr>
          <w:sz w:val="22"/>
          <w:szCs w:val="22"/>
        </w:rPr>
        <w:t>V súvislosti s predkladaným oznámením je možné očakávať, že priame vplyvy na životné prostredie nebudú odlišné od tých, ktoré boli identifikované v procese posudzovania strategického dokumentu IROP. Zmenou IROP nedochádza k žiadny</w:t>
      </w:r>
      <w:r w:rsidR="00A2796E" w:rsidRPr="00F510FE">
        <w:rPr>
          <w:sz w:val="22"/>
          <w:szCs w:val="22"/>
        </w:rPr>
        <w:t>m</w:t>
      </w:r>
      <w:r w:rsidRPr="00F510FE">
        <w:rPr>
          <w:sz w:val="22"/>
          <w:szCs w:val="22"/>
        </w:rPr>
        <w:t xml:space="preserve"> predpokladaný</w:t>
      </w:r>
      <w:r w:rsidR="00A2796E" w:rsidRPr="00F510FE">
        <w:rPr>
          <w:sz w:val="22"/>
          <w:szCs w:val="22"/>
        </w:rPr>
        <w:t>m</w:t>
      </w:r>
      <w:r w:rsidRPr="00F510FE">
        <w:rPr>
          <w:sz w:val="22"/>
          <w:szCs w:val="22"/>
        </w:rPr>
        <w:t xml:space="preserve"> zásadný</w:t>
      </w:r>
      <w:r w:rsidR="00A2796E" w:rsidRPr="00F510FE">
        <w:rPr>
          <w:sz w:val="22"/>
          <w:szCs w:val="22"/>
        </w:rPr>
        <w:t>m</w:t>
      </w:r>
      <w:r w:rsidRPr="00F510FE">
        <w:rPr>
          <w:sz w:val="22"/>
          <w:szCs w:val="22"/>
        </w:rPr>
        <w:t xml:space="preserve"> zmenám vplyvov na životné prostredie oproti už hodnoteným vplyvom. </w:t>
      </w:r>
    </w:p>
    <w:p w14:paraId="48A7D666"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4.</w:t>
      </w:r>
      <w:r w:rsidRPr="00F510FE">
        <w:rPr>
          <w:b/>
          <w:bCs/>
          <w:sz w:val="22"/>
          <w:szCs w:val="22"/>
        </w:rPr>
        <w:tab/>
        <w:t>Vplyv na zdravotný stav obyvateľstva.</w:t>
      </w:r>
    </w:p>
    <w:p w14:paraId="40440259" w14:textId="7FFCB393" w:rsidR="00997776" w:rsidRPr="00F510FE" w:rsidRDefault="00997776" w:rsidP="0087675E">
      <w:pPr>
        <w:widowControl/>
        <w:autoSpaceDE/>
        <w:autoSpaceDN/>
        <w:adjustRightInd/>
        <w:spacing w:before="60" w:line="276" w:lineRule="auto"/>
        <w:ind w:left="284"/>
        <w:jc w:val="both"/>
        <w:rPr>
          <w:sz w:val="22"/>
          <w:szCs w:val="22"/>
        </w:rPr>
      </w:pPr>
      <w:r w:rsidRPr="00F510FE">
        <w:rPr>
          <w:sz w:val="22"/>
          <w:szCs w:val="22"/>
        </w:rPr>
        <w:t xml:space="preserve">Navrhovanými zmenami IROP sa nepredpokladajú vplyvy na zdravotný stav obyvateľstva. </w:t>
      </w:r>
    </w:p>
    <w:p w14:paraId="7D0CC8E1"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lastRenderedPageBreak/>
        <w:t>5.</w:t>
      </w:r>
      <w:r w:rsidRPr="00F510FE">
        <w:rPr>
          <w:b/>
          <w:bCs/>
          <w:sz w:val="22"/>
          <w:szCs w:val="22"/>
        </w:rPr>
        <w:tab/>
        <w:t>Vplyvy na chránené územia (napr. navrhované chránené vtáčie územia, územia európskeho významu, súvislá európska sústava chránených území (Natura 2000), národné parky, chránené krajinné oblasti, chránené vodohospodárske oblasti a pod.) vrátane návrhu opatrení na ich zmiernenie.</w:t>
      </w:r>
    </w:p>
    <w:p w14:paraId="428B60B6" w14:textId="46BBC7EE" w:rsidR="00997776" w:rsidRPr="00F510FE" w:rsidRDefault="00997776" w:rsidP="0087675E">
      <w:pPr>
        <w:widowControl/>
        <w:autoSpaceDE/>
        <w:autoSpaceDN/>
        <w:adjustRightInd/>
        <w:spacing w:before="60" w:line="276" w:lineRule="auto"/>
        <w:ind w:left="284"/>
        <w:jc w:val="both"/>
        <w:rPr>
          <w:sz w:val="22"/>
          <w:szCs w:val="22"/>
        </w:rPr>
      </w:pPr>
      <w:r w:rsidRPr="00F510FE">
        <w:rPr>
          <w:sz w:val="22"/>
          <w:szCs w:val="22"/>
        </w:rPr>
        <w:t xml:space="preserve">Navrhovanými zmenami IROP sa nepredpokladajú vplyvy na chránené územia. </w:t>
      </w:r>
    </w:p>
    <w:p w14:paraId="302948A5"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6.</w:t>
      </w:r>
      <w:r w:rsidRPr="00F510FE">
        <w:rPr>
          <w:b/>
          <w:bCs/>
          <w:sz w:val="22"/>
          <w:szCs w:val="22"/>
        </w:rPr>
        <w:tab/>
        <w:t>Možné riziká súvisiace s uplatňovaním strategického materiálu.</w:t>
      </w:r>
    </w:p>
    <w:p w14:paraId="0E8535B6" w14:textId="565F4F7A" w:rsidR="00E54ACB" w:rsidRPr="00F510FE" w:rsidRDefault="00997776" w:rsidP="0087675E">
      <w:pPr>
        <w:widowControl/>
        <w:autoSpaceDE/>
        <w:autoSpaceDN/>
        <w:adjustRightInd/>
        <w:spacing w:before="60" w:line="276" w:lineRule="auto"/>
        <w:ind w:left="284"/>
        <w:jc w:val="both"/>
        <w:rPr>
          <w:sz w:val="22"/>
          <w:szCs w:val="22"/>
        </w:rPr>
      </w:pPr>
      <w:r w:rsidRPr="00F510FE">
        <w:rPr>
          <w:sz w:val="22"/>
          <w:szCs w:val="22"/>
        </w:rPr>
        <w:t xml:space="preserve">Navrhovanými zmenami IROP sa nepredpokladajú </w:t>
      </w:r>
      <w:r w:rsidR="00E7729B" w:rsidRPr="00F510FE">
        <w:rPr>
          <w:sz w:val="22"/>
          <w:szCs w:val="22"/>
        </w:rPr>
        <w:t>významnejšie riziká spojené s </w:t>
      </w:r>
      <w:r w:rsidR="00E54ACB" w:rsidRPr="00F510FE">
        <w:rPr>
          <w:sz w:val="22"/>
          <w:szCs w:val="22"/>
        </w:rPr>
        <w:t>uplatňovaním strategického materiálu vo vzťahu k životnému prostrediu.</w:t>
      </w:r>
    </w:p>
    <w:p w14:paraId="3139EC2F"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7.</w:t>
      </w:r>
      <w:r w:rsidRPr="00F510FE">
        <w:rPr>
          <w:b/>
          <w:bCs/>
          <w:sz w:val="22"/>
          <w:szCs w:val="22"/>
        </w:rPr>
        <w:tab/>
        <w:t>Vplyvy na životné prostredie presahujúce štátne hranice.</w:t>
      </w:r>
    </w:p>
    <w:p w14:paraId="6353FE8A" w14:textId="3428F0F9" w:rsidR="00E54ACB" w:rsidRPr="00F510FE" w:rsidRDefault="00997776" w:rsidP="0087675E">
      <w:pPr>
        <w:widowControl/>
        <w:autoSpaceDE/>
        <w:autoSpaceDN/>
        <w:adjustRightInd/>
        <w:spacing w:before="60" w:line="276" w:lineRule="auto"/>
        <w:ind w:left="284"/>
        <w:jc w:val="both"/>
        <w:rPr>
          <w:sz w:val="22"/>
          <w:szCs w:val="22"/>
        </w:rPr>
      </w:pPr>
      <w:r w:rsidRPr="00F510FE">
        <w:rPr>
          <w:sz w:val="22"/>
          <w:szCs w:val="22"/>
        </w:rPr>
        <w:t xml:space="preserve">Navrhované zmeny IROP nepredpokladajú vplyv </w:t>
      </w:r>
      <w:r w:rsidR="00A52346" w:rsidRPr="00F510FE">
        <w:rPr>
          <w:sz w:val="22"/>
          <w:szCs w:val="22"/>
        </w:rPr>
        <w:t>na životné prostredie presahujúce hranice štátu</w:t>
      </w:r>
      <w:r w:rsidRPr="00F510FE">
        <w:rPr>
          <w:sz w:val="22"/>
          <w:szCs w:val="22"/>
        </w:rPr>
        <w:t>.</w:t>
      </w:r>
    </w:p>
    <w:p w14:paraId="750D36A8" w14:textId="77777777" w:rsidR="00E54ACB" w:rsidRPr="00F510FE" w:rsidRDefault="00E54ACB" w:rsidP="0087675E">
      <w:pPr>
        <w:spacing w:before="240" w:line="276" w:lineRule="auto"/>
        <w:ind w:left="357" w:hanging="357"/>
        <w:rPr>
          <w:b/>
          <w:bCs/>
          <w:sz w:val="22"/>
          <w:szCs w:val="22"/>
        </w:rPr>
      </w:pPr>
      <w:r w:rsidRPr="00F510FE">
        <w:rPr>
          <w:b/>
          <w:bCs/>
          <w:sz w:val="22"/>
          <w:szCs w:val="22"/>
        </w:rPr>
        <w:t>IV.</w:t>
      </w:r>
      <w:r w:rsidRPr="00F510FE">
        <w:rPr>
          <w:b/>
          <w:bCs/>
          <w:sz w:val="22"/>
          <w:szCs w:val="22"/>
        </w:rPr>
        <w:tab/>
        <w:t>Dotknuté subjekty</w:t>
      </w:r>
      <w:r w:rsidR="005A0A06" w:rsidRPr="00F510FE">
        <w:rPr>
          <w:b/>
          <w:bCs/>
          <w:sz w:val="22"/>
          <w:szCs w:val="22"/>
        </w:rPr>
        <w:t xml:space="preserve"> </w:t>
      </w:r>
    </w:p>
    <w:p w14:paraId="131F22B9" w14:textId="279E4A47" w:rsidR="00E54ACB" w:rsidRPr="00F510FE" w:rsidRDefault="00954B72" w:rsidP="0087675E">
      <w:pPr>
        <w:spacing w:before="120" w:line="276" w:lineRule="auto"/>
        <w:ind w:left="284" w:hanging="284"/>
        <w:jc w:val="both"/>
        <w:rPr>
          <w:b/>
          <w:bCs/>
          <w:sz w:val="22"/>
          <w:szCs w:val="22"/>
        </w:rPr>
      </w:pPr>
      <w:r w:rsidRPr="00F510FE">
        <w:rPr>
          <w:b/>
          <w:bCs/>
          <w:sz w:val="22"/>
          <w:szCs w:val="22"/>
        </w:rPr>
        <w:t>1</w:t>
      </w:r>
      <w:r w:rsidRPr="00F510FE">
        <w:rPr>
          <w:b/>
          <w:bCs/>
          <w:sz w:val="22"/>
          <w:szCs w:val="22"/>
        </w:rPr>
        <w:tab/>
      </w:r>
      <w:r w:rsidR="00E54ACB" w:rsidRPr="00F510FE">
        <w:rPr>
          <w:b/>
          <w:bCs/>
          <w:sz w:val="22"/>
          <w:szCs w:val="22"/>
        </w:rPr>
        <w:t>Vymedzenie zainteresovanej verejnosti vrátane jej združení.</w:t>
      </w:r>
    </w:p>
    <w:p w14:paraId="2C83C3E9" w14:textId="77777777" w:rsidR="00FD124E" w:rsidRPr="00F510FE" w:rsidRDefault="00E54ACB" w:rsidP="0087675E">
      <w:pPr>
        <w:pStyle w:val="Odsekzoznamu"/>
        <w:numPr>
          <w:ilvl w:val="0"/>
          <w:numId w:val="2"/>
        </w:numPr>
        <w:tabs>
          <w:tab w:val="left" w:pos="1440"/>
        </w:tabs>
        <w:spacing w:before="40" w:after="0"/>
        <w:ind w:left="426" w:hanging="142"/>
        <w:contextualSpacing w:val="0"/>
        <w:jc w:val="both"/>
        <w:rPr>
          <w:rFonts w:ascii="Arial" w:hAnsi="Arial" w:cs="Arial"/>
        </w:rPr>
      </w:pPr>
      <w:r w:rsidRPr="00F510FE">
        <w:rPr>
          <w:rFonts w:ascii="Arial" w:hAnsi="Arial" w:cs="Arial"/>
        </w:rPr>
        <w:t>Orgány štátnej správy</w:t>
      </w:r>
    </w:p>
    <w:p w14:paraId="55FF9E08" w14:textId="77777777" w:rsidR="00E54ACB" w:rsidRPr="00F510FE" w:rsidRDefault="00E54ACB" w:rsidP="0087675E">
      <w:pPr>
        <w:pStyle w:val="Odsekzoznamu"/>
        <w:numPr>
          <w:ilvl w:val="0"/>
          <w:numId w:val="2"/>
        </w:numPr>
        <w:tabs>
          <w:tab w:val="left" w:pos="1440"/>
        </w:tabs>
        <w:spacing w:before="40" w:after="0"/>
        <w:ind w:left="426" w:hanging="142"/>
        <w:contextualSpacing w:val="0"/>
        <w:jc w:val="both"/>
        <w:rPr>
          <w:rFonts w:ascii="Arial" w:hAnsi="Arial" w:cs="Arial"/>
        </w:rPr>
      </w:pPr>
      <w:r w:rsidRPr="00F510FE">
        <w:rPr>
          <w:rFonts w:ascii="Arial" w:hAnsi="Arial" w:cs="Arial"/>
        </w:rPr>
        <w:t>Samosprávne kraje</w:t>
      </w:r>
    </w:p>
    <w:p w14:paraId="4A5E7152" w14:textId="77777777" w:rsidR="00FD124E" w:rsidRPr="00F510FE" w:rsidRDefault="00B265B3"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Mestá, o</w:t>
      </w:r>
      <w:r w:rsidR="00E54ACB" w:rsidRPr="00F510FE">
        <w:rPr>
          <w:rFonts w:ascii="Arial" w:hAnsi="Arial" w:cs="Arial"/>
        </w:rPr>
        <w:t>bce</w:t>
      </w:r>
    </w:p>
    <w:p w14:paraId="242E3D85" w14:textId="77777777" w:rsidR="00E54ACB" w:rsidRPr="00F510FE" w:rsidRDefault="00FD124E"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Z</w:t>
      </w:r>
      <w:r w:rsidR="00E54ACB" w:rsidRPr="00F510FE">
        <w:rPr>
          <w:rFonts w:ascii="Arial" w:hAnsi="Arial" w:cs="Arial"/>
        </w:rPr>
        <w:t xml:space="preserve">druženia </w:t>
      </w:r>
      <w:r w:rsidR="00B265B3" w:rsidRPr="00F510FE">
        <w:rPr>
          <w:rFonts w:ascii="Arial" w:hAnsi="Arial" w:cs="Arial"/>
        </w:rPr>
        <w:t xml:space="preserve">miest a </w:t>
      </w:r>
      <w:r w:rsidR="00E54ACB" w:rsidRPr="00F510FE">
        <w:rPr>
          <w:rFonts w:ascii="Arial" w:hAnsi="Arial" w:cs="Arial"/>
        </w:rPr>
        <w:t>obcí</w:t>
      </w:r>
    </w:p>
    <w:p w14:paraId="1CFACBEB"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Príspevkové a rozpočtové organizácie štátu, samosprávnych krajov</w:t>
      </w:r>
      <w:r w:rsidR="002D7B35" w:rsidRPr="00F510FE">
        <w:rPr>
          <w:rFonts w:ascii="Arial" w:hAnsi="Arial" w:cs="Arial"/>
        </w:rPr>
        <w:t>, mestá</w:t>
      </w:r>
      <w:r w:rsidRPr="00F510FE">
        <w:rPr>
          <w:rFonts w:ascii="Arial" w:hAnsi="Arial" w:cs="Arial"/>
        </w:rPr>
        <w:t xml:space="preserve"> a obcí</w:t>
      </w:r>
    </w:p>
    <w:p w14:paraId="5C6DBD7A"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Záujmové združenia právnických osôb (§ 20, písm. f Občianskeho zákonníka)</w:t>
      </w:r>
    </w:p>
    <w:p w14:paraId="790AD99E" w14:textId="77777777" w:rsidR="00E54ACB" w:rsidRPr="00F510FE" w:rsidRDefault="00F01880"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Materské, z</w:t>
      </w:r>
      <w:r w:rsidR="00E54ACB" w:rsidRPr="00F510FE">
        <w:rPr>
          <w:rFonts w:ascii="Arial" w:hAnsi="Arial" w:cs="Arial"/>
        </w:rPr>
        <w:t xml:space="preserve">ákladné a stredné </w:t>
      </w:r>
      <w:r w:rsidRPr="00F510FE">
        <w:rPr>
          <w:rFonts w:ascii="Arial" w:hAnsi="Arial" w:cs="Arial"/>
        </w:rPr>
        <w:t xml:space="preserve">odborné </w:t>
      </w:r>
      <w:r w:rsidR="00E54ACB" w:rsidRPr="00F510FE">
        <w:rPr>
          <w:rFonts w:ascii="Arial" w:hAnsi="Arial" w:cs="Arial"/>
        </w:rPr>
        <w:t>školy, učilištia</w:t>
      </w:r>
    </w:p>
    <w:p w14:paraId="304B7C9C"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Občianske združenia</w:t>
      </w:r>
    </w:p>
    <w:p w14:paraId="5AF82A09"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Nadácie</w:t>
      </w:r>
    </w:p>
    <w:p w14:paraId="7D719267"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Neziskové organizácie poskytujúce verejnoprospešné služby</w:t>
      </w:r>
    </w:p>
    <w:p w14:paraId="090A7248"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Neinvestičné fondy</w:t>
      </w:r>
    </w:p>
    <w:p w14:paraId="70CEE72E"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Krajské školské úrady (nimi zriadené osobitné školy)</w:t>
      </w:r>
    </w:p>
    <w:p w14:paraId="4C87C44D"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Súkromné a cirkevné školy</w:t>
      </w:r>
    </w:p>
    <w:p w14:paraId="0F8289BA" w14:textId="77777777" w:rsidR="00E54ACB" w:rsidRPr="00F510FE" w:rsidRDefault="00212E3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Združenie, zväzok, spolok</w:t>
      </w:r>
    </w:p>
    <w:p w14:paraId="1DEA708D" w14:textId="77777777" w:rsidR="00E54ACB" w:rsidRPr="00F510FE" w:rsidRDefault="00FD124E"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C</w:t>
      </w:r>
      <w:r w:rsidR="00E54ACB" w:rsidRPr="00F510FE">
        <w:rPr>
          <w:rFonts w:ascii="Arial" w:hAnsi="Arial" w:cs="Arial"/>
        </w:rPr>
        <w:t xml:space="preserve">irkvi a náboženské spoločnosti </w:t>
      </w:r>
    </w:p>
    <w:p w14:paraId="45EC8BBE"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Fyzické a právnické osoby</w:t>
      </w:r>
    </w:p>
    <w:p w14:paraId="1EB9CC8B" w14:textId="77777777" w:rsidR="00E54ACB" w:rsidRPr="00F510FE" w:rsidRDefault="00E54ACB" w:rsidP="0087675E">
      <w:pPr>
        <w:pStyle w:val="Odsekzoznamu"/>
        <w:numPr>
          <w:ilvl w:val="0"/>
          <w:numId w:val="2"/>
        </w:numPr>
        <w:spacing w:before="40" w:after="0"/>
        <w:ind w:left="426" w:hanging="142"/>
        <w:contextualSpacing w:val="0"/>
        <w:jc w:val="both"/>
        <w:rPr>
          <w:rFonts w:ascii="Arial" w:hAnsi="Arial" w:cs="Arial"/>
        </w:rPr>
      </w:pPr>
      <w:r w:rsidRPr="00F510FE">
        <w:rPr>
          <w:rFonts w:ascii="Arial" w:hAnsi="Arial" w:cs="Arial"/>
        </w:rPr>
        <w:t>Regionálne združenia</w:t>
      </w:r>
    </w:p>
    <w:p w14:paraId="58E8C623" w14:textId="77777777" w:rsidR="00E54ACB" w:rsidRPr="00F510FE" w:rsidRDefault="00E54ACB" w:rsidP="0087675E">
      <w:pPr>
        <w:pStyle w:val="Odsekzoznamu"/>
        <w:numPr>
          <w:ilvl w:val="0"/>
          <w:numId w:val="2"/>
        </w:numPr>
        <w:tabs>
          <w:tab w:val="left" w:pos="1440"/>
        </w:tabs>
        <w:spacing w:before="40" w:after="0"/>
        <w:ind w:left="426" w:hanging="142"/>
        <w:contextualSpacing w:val="0"/>
        <w:jc w:val="both"/>
        <w:rPr>
          <w:rFonts w:ascii="Arial" w:hAnsi="Arial" w:cs="Arial"/>
        </w:rPr>
      </w:pPr>
      <w:r w:rsidRPr="00F510FE">
        <w:rPr>
          <w:rFonts w:ascii="Arial" w:hAnsi="Arial" w:cs="Arial"/>
        </w:rPr>
        <w:t>Záujmové skupiny</w:t>
      </w:r>
    </w:p>
    <w:p w14:paraId="75061E27" w14:textId="77777777" w:rsidR="00E54ACB" w:rsidRPr="00F510FE" w:rsidRDefault="00E54ACB" w:rsidP="0087675E">
      <w:pPr>
        <w:pStyle w:val="Odsekzoznamu"/>
        <w:numPr>
          <w:ilvl w:val="0"/>
          <w:numId w:val="2"/>
        </w:numPr>
        <w:tabs>
          <w:tab w:val="left" w:pos="1440"/>
        </w:tabs>
        <w:spacing w:before="40" w:after="0"/>
        <w:ind w:left="426" w:hanging="142"/>
        <w:contextualSpacing w:val="0"/>
        <w:jc w:val="both"/>
        <w:rPr>
          <w:rFonts w:ascii="Arial" w:hAnsi="Arial" w:cs="Arial"/>
        </w:rPr>
      </w:pPr>
      <w:r w:rsidRPr="00F510FE">
        <w:rPr>
          <w:rFonts w:ascii="Arial" w:hAnsi="Arial" w:cs="Arial"/>
        </w:rPr>
        <w:t>Slovenský červený kríž</w:t>
      </w:r>
    </w:p>
    <w:p w14:paraId="06BFBE86" w14:textId="54D72828" w:rsidR="00E54ACB" w:rsidRPr="00F510FE" w:rsidRDefault="00954B72" w:rsidP="0087675E">
      <w:pPr>
        <w:spacing w:before="120" w:line="276" w:lineRule="auto"/>
        <w:ind w:left="284" w:hanging="284"/>
        <w:jc w:val="both"/>
        <w:rPr>
          <w:b/>
          <w:bCs/>
          <w:sz w:val="22"/>
          <w:szCs w:val="22"/>
        </w:rPr>
      </w:pPr>
      <w:r w:rsidRPr="00F510FE">
        <w:rPr>
          <w:b/>
          <w:bCs/>
          <w:sz w:val="22"/>
          <w:szCs w:val="22"/>
        </w:rPr>
        <w:t>2</w:t>
      </w:r>
      <w:r w:rsidRPr="00F510FE">
        <w:rPr>
          <w:b/>
          <w:bCs/>
          <w:sz w:val="22"/>
          <w:szCs w:val="22"/>
        </w:rPr>
        <w:tab/>
      </w:r>
      <w:r w:rsidR="00E54ACB" w:rsidRPr="00F510FE">
        <w:rPr>
          <w:b/>
          <w:bCs/>
          <w:sz w:val="22"/>
          <w:szCs w:val="22"/>
        </w:rPr>
        <w:t>Zoznam dotknutých subjektov.</w:t>
      </w:r>
    </w:p>
    <w:p w14:paraId="725DDC1D" w14:textId="77777777" w:rsidR="00E54ACB" w:rsidRPr="00F510FE" w:rsidRDefault="00E54ACB" w:rsidP="0087675E">
      <w:pPr>
        <w:spacing w:before="80" w:line="276" w:lineRule="auto"/>
        <w:ind w:left="284"/>
        <w:jc w:val="both"/>
        <w:rPr>
          <w:sz w:val="22"/>
          <w:szCs w:val="22"/>
        </w:rPr>
      </w:pPr>
      <w:r w:rsidRPr="00F510FE">
        <w:rPr>
          <w:sz w:val="22"/>
          <w:szCs w:val="22"/>
        </w:rPr>
        <w:t xml:space="preserve">Ako </w:t>
      </w:r>
      <w:r w:rsidR="002E202A" w:rsidRPr="00F510FE">
        <w:rPr>
          <w:sz w:val="22"/>
          <w:szCs w:val="22"/>
        </w:rPr>
        <w:t xml:space="preserve">je </w:t>
      </w:r>
      <w:r w:rsidRPr="00F510FE">
        <w:rPr>
          <w:sz w:val="22"/>
          <w:szCs w:val="22"/>
        </w:rPr>
        <w:t>uvedené vyššie.</w:t>
      </w:r>
    </w:p>
    <w:p w14:paraId="3C64F246"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3.</w:t>
      </w:r>
      <w:r w:rsidRPr="00F510FE">
        <w:rPr>
          <w:b/>
          <w:bCs/>
          <w:sz w:val="22"/>
          <w:szCs w:val="22"/>
        </w:rPr>
        <w:tab/>
        <w:t>Dotknuté susedné štáty.</w:t>
      </w:r>
    </w:p>
    <w:p w14:paraId="676AFCA0" w14:textId="77777777" w:rsidR="00E54ACB" w:rsidRDefault="00A52346" w:rsidP="0087675E">
      <w:pPr>
        <w:spacing w:before="80" w:line="276" w:lineRule="auto"/>
        <w:ind w:left="284"/>
        <w:jc w:val="both"/>
        <w:rPr>
          <w:sz w:val="22"/>
          <w:szCs w:val="22"/>
        </w:rPr>
      </w:pPr>
      <w:r w:rsidRPr="00F510FE">
        <w:rPr>
          <w:sz w:val="22"/>
          <w:szCs w:val="22"/>
        </w:rPr>
        <w:t>Nepredpokladá sa</w:t>
      </w:r>
      <w:r w:rsidR="0067398D" w:rsidRPr="00F510FE">
        <w:rPr>
          <w:sz w:val="22"/>
          <w:szCs w:val="22"/>
        </w:rPr>
        <w:t xml:space="preserve">, že by navrhovanými zmenami IROP mohli byť dotknuté </w:t>
      </w:r>
      <w:r w:rsidRPr="00F510FE">
        <w:rPr>
          <w:sz w:val="22"/>
          <w:szCs w:val="22"/>
        </w:rPr>
        <w:t>susedné štáty</w:t>
      </w:r>
      <w:r w:rsidR="0067398D" w:rsidRPr="00F510FE">
        <w:rPr>
          <w:sz w:val="22"/>
          <w:szCs w:val="22"/>
        </w:rPr>
        <w:t>.</w:t>
      </w:r>
    </w:p>
    <w:p w14:paraId="27B2F60F" w14:textId="77777777" w:rsidR="00E54ACB" w:rsidRPr="00F510FE" w:rsidRDefault="00E54ACB" w:rsidP="0087675E">
      <w:pPr>
        <w:spacing w:before="240" w:line="276" w:lineRule="auto"/>
        <w:ind w:left="357" w:hanging="357"/>
        <w:rPr>
          <w:b/>
          <w:bCs/>
          <w:sz w:val="22"/>
          <w:szCs w:val="22"/>
        </w:rPr>
      </w:pPr>
      <w:r w:rsidRPr="00F510FE">
        <w:rPr>
          <w:b/>
          <w:bCs/>
          <w:sz w:val="22"/>
          <w:szCs w:val="22"/>
        </w:rPr>
        <w:t>V.</w:t>
      </w:r>
      <w:r w:rsidRPr="00F510FE">
        <w:rPr>
          <w:b/>
          <w:bCs/>
          <w:sz w:val="22"/>
          <w:szCs w:val="22"/>
        </w:rPr>
        <w:tab/>
        <w:t>Doplňujúce údaje</w:t>
      </w:r>
    </w:p>
    <w:p w14:paraId="01BBCB73"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1.</w:t>
      </w:r>
      <w:r w:rsidRPr="00F510FE">
        <w:rPr>
          <w:b/>
          <w:bCs/>
          <w:sz w:val="22"/>
          <w:szCs w:val="22"/>
        </w:rPr>
        <w:tab/>
        <w:t>Mapová a iná grafická dokumentácia (napr. výkres širších vzťahov v mierke primeranej charakteru a pôsobnosti strategického dokumentu).</w:t>
      </w:r>
    </w:p>
    <w:p w14:paraId="5A1E43AE" w14:textId="77777777" w:rsidR="00296590" w:rsidRPr="00F510FE" w:rsidRDefault="0067398D" w:rsidP="0087675E">
      <w:pPr>
        <w:widowControl/>
        <w:autoSpaceDE/>
        <w:autoSpaceDN/>
        <w:adjustRightInd/>
        <w:spacing w:before="60" w:line="276" w:lineRule="auto"/>
        <w:ind w:left="284"/>
        <w:jc w:val="both"/>
        <w:rPr>
          <w:sz w:val="22"/>
          <w:szCs w:val="22"/>
        </w:rPr>
      </w:pPr>
      <w:r w:rsidRPr="00F510FE">
        <w:rPr>
          <w:sz w:val="22"/>
          <w:szCs w:val="22"/>
        </w:rPr>
        <w:t xml:space="preserve">Predkladané oznámenie neobsahuje mapové a iné grafické dokumentácie. </w:t>
      </w:r>
    </w:p>
    <w:p w14:paraId="54A34384" w14:textId="77777777" w:rsidR="00E54ACB" w:rsidRPr="00F510FE" w:rsidRDefault="00E54ACB" w:rsidP="0087675E">
      <w:pPr>
        <w:spacing w:before="120" w:line="276" w:lineRule="auto"/>
        <w:ind w:left="284" w:hanging="284"/>
        <w:jc w:val="both"/>
        <w:rPr>
          <w:b/>
          <w:bCs/>
          <w:sz w:val="22"/>
          <w:szCs w:val="22"/>
        </w:rPr>
      </w:pPr>
      <w:r w:rsidRPr="00F510FE">
        <w:rPr>
          <w:b/>
          <w:bCs/>
          <w:sz w:val="22"/>
          <w:szCs w:val="22"/>
        </w:rPr>
        <w:t>2.</w:t>
      </w:r>
      <w:r w:rsidRPr="00F510FE">
        <w:rPr>
          <w:b/>
          <w:bCs/>
          <w:sz w:val="22"/>
          <w:szCs w:val="22"/>
        </w:rPr>
        <w:tab/>
        <w:t>Materiály použité pri vypracovaní strategického dokumentu.</w:t>
      </w:r>
    </w:p>
    <w:p w14:paraId="48DFC66A" w14:textId="4237EF44" w:rsidR="004F75D7" w:rsidRDefault="00334F62" w:rsidP="0087675E">
      <w:pPr>
        <w:pStyle w:val="Odsekzoznamu"/>
        <w:numPr>
          <w:ilvl w:val="0"/>
          <w:numId w:val="2"/>
        </w:numPr>
        <w:tabs>
          <w:tab w:val="left" w:pos="1440"/>
        </w:tabs>
        <w:spacing w:after="0"/>
        <w:ind w:left="426" w:hanging="142"/>
        <w:contextualSpacing w:val="0"/>
        <w:jc w:val="both"/>
        <w:rPr>
          <w:rFonts w:ascii="Arial" w:hAnsi="Arial" w:cs="Arial"/>
        </w:rPr>
      </w:pPr>
      <w:r w:rsidRPr="00F510FE">
        <w:rPr>
          <w:rFonts w:ascii="Arial" w:hAnsi="Arial" w:cs="Arial"/>
        </w:rPr>
        <w:lastRenderedPageBreak/>
        <w:t>Nariadenie Európskeho parlamentu a Rady (EÚ) č. 1303/2013, ktorým sa stanovuje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w:t>
      </w:r>
      <w:r w:rsidR="00D47BB5">
        <w:rPr>
          <w:rFonts w:ascii="Arial" w:hAnsi="Arial" w:cs="Arial"/>
        </w:rPr>
        <w:t xml:space="preserve"> Rady (ES) č. 1083/2006)</w:t>
      </w:r>
      <w:r w:rsidR="00744056">
        <w:rPr>
          <w:rFonts w:ascii="Arial" w:hAnsi="Arial" w:cs="Arial"/>
        </w:rPr>
        <w:t>;</w:t>
      </w:r>
    </w:p>
    <w:p w14:paraId="40F46CF3" w14:textId="322299D3" w:rsidR="00377D51" w:rsidRPr="00377D51" w:rsidRDefault="00377D51" w:rsidP="0087675E">
      <w:pPr>
        <w:pStyle w:val="Odsekzoznamu"/>
        <w:numPr>
          <w:ilvl w:val="0"/>
          <w:numId w:val="2"/>
        </w:numPr>
        <w:tabs>
          <w:tab w:val="left" w:pos="1440"/>
        </w:tabs>
        <w:spacing w:after="0"/>
        <w:ind w:left="426" w:hanging="142"/>
        <w:contextualSpacing w:val="0"/>
        <w:jc w:val="both"/>
        <w:rPr>
          <w:rFonts w:ascii="Arial" w:hAnsi="Arial" w:cs="Arial"/>
        </w:rPr>
      </w:pPr>
      <w:r w:rsidRPr="00377D51">
        <w:rPr>
          <w:rFonts w:ascii="Arial" w:hAnsi="Arial" w:cs="Arial"/>
        </w:rPr>
        <w:t>Nariadenia Európskeho Parlamentu a Rady (EÚ) 2020/2221 z 23. decembra 2020, ktorým sa mení nariadenie (EÚ) č. 1303/2013, pokiaľ ide o dodatočné zdroje a vykonávacie opatrenia na poskytovanie pomoci na podporu obnovy po kríze spojenej s pandémiou COVID-19 vrátane jej sociálnych dôsledkov a na prípravu zeleného, digitálneho a odolného</w:t>
      </w:r>
      <w:r w:rsidR="00597B23">
        <w:rPr>
          <w:rFonts w:ascii="Arial" w:hAnsi="Arial" w:cs="Arial"/>
        </w:rPr>
        <w:t xml:space="preserve"> oživenia hospodárstva (REACT-EÚ</w:t>
      </w:r>
      <w:r w:rsidRPr="00377D51">
        <w:rPr>
          <w:rFonts w:ascii="Arial" w:hAnsi="Arial" w:cs="Arial"/>
        </w:rPr>
        <w:t>)</w:t>
      </w:r>
      <w:r>
        <w:rPr>
          <w:rFonts w:ascii="Arial" w:hAnsi="Arial" w:cs="Arial"/>
        </w:rPr>
        <w:t>.</w:t>
      </w:r>
    </w:p>
    <w:p w14:paraId="49418483" w14:textId="77777777" w:rsidR="00E54ACB" w:rsidRPr="00F510FE" w:rsidRDefault="00E54ACB" w:rsidP="00DC39FD">
      <w:pPr>
        <w:spacing w:before="240" w:line="276" w:lineRule="auto"/>
        <w:ind w:left="357" w:hanging="357"/>
        <w:rPr>
          <w:b/>
          <w:bCs/>
          <w:sz w:val="22"/>
          <w:szCs w:val="22"/>
        </w:rPr>
      </w:pPr>
      <w:r w:rsidRPr="00F510FE">
        <w:rPr>
          <w:b/>
          <w:bCs/>
          <w:sz w:val="22"/>
          <w:szCs w:val="22"/>
        </w:rPr>
        <w:t>VI.</w:t>
      </w:r>
      <w:r w:rsidRPr="00F510FE">
        <w:rPr>
          <w:b/>
          <w:bCs/>
          <w:sz w:val="22"/>
          <w:szCs w:val="22"/>
        </w:rPr>
        <w:tab/>
        <w:t>Miesto a dátum vypracovania oznámenia.</w:t>
      </w:r>
    </w:p>
    <w:p w14:paraId="2613AC04" w14:textId="3FCF2B0D" w:rsidR="00E54ACB" w:rsidRPr="00F510FE" w:rsidRDefault="00E54ACB" w:rsidP="00DC39FD">
      <w:pPr>
        <w:spacing w:before="80" w:line="276" w:lineRule="auto"/>
        <w:ind w:left="284"/>
        <w:jc w:val="both"/>
        <w:rPr>
          <w:b/>
          <w:color w:val="FF0000"/>
          <w:sz w:val="22"/>
          <w:szCs w:val="22"/>
        </w:rPr>
      </w:pPr>
      <w:r w:rsidRPr="00F510FE">
        <w:rPr>
          <w:sz w:val="22"/>
          <w:szCs w:val="22"/>
        </w:rPr>
        <w:t xml:space="preserve">Bratislava, </w:t>
      </w:r>
      <w:r w:rsidR="00597B23">
        <w:rPr>
          <w:sz w:val="22"/>
          <w:szCs w:val="22"/>
        </w:rPr>
        <w:t>20.06</w:t>
      </w:r>
      <w:r w:rsidR="00744056">
        <w:rPr>
          <w:sz w:val="22"/>
          <w:szCs w:val="22"/>
        </w:rPr>
        <w:t>.2022</w:t>
      </w:r>
      <w:bookmarkStart w:id="2" w:name="_GoBack"/>
      <w:bookmarkEnd w:id="2"/>
    </w:p>
    <w:p w14:paraId="2A4A86A6" w14:textId="77777777" w:rsidR="00E54ACB" w:rsidRPr="00F510FE" w:rsidRDefault="00E54ACB" w:rsidP="00DC39FD">
      <w:pPr>
        <w:spacing w:before="240" w:line="276" w:lineRule="auto"/>
        <w:ind w:left="357" w:hanging="357"/>
        <w:rPr>
          <w:b/>
          <w:bCs/>
          <w:sz w:val="22"/>
          <w:szCs w:val="22"/>
        </w:rPr>
      </w:pPr>
      <w:r w:rsidRPr="00F510FE">
        <w:rPr>
          <w:b/>
          <w:bCs/>
          <w:sz w:val="22"/>
          <w:szCs w:val="22"/>
        </w:rPr>
        <w:t>VII.</w:t>
      </w:r>
      <w:r w:rsidRPr="00F510FE">
        <w:rPr>
          <w:b/>
          <w:bCs/>
          <w:sz w:val="22"/>
          <w:szCs w:val="22"/>
        </w:rPr>
        <w:tab/>
        <w:t>Potvrdenie správnosti údajov</w:t>
      </w:r>
    </w:p>
    <w:p w14:paraId="41EE867B" w14:textId="77777777" w:rsidR="00E54ACB" w:rsidRPr="00F510FE" w:rsidRDefault="00E54ACB" w:rsidP="00DC39FD">
      <w:pPr>
        <w:spacing w:before="120" w:line="276" w:lineRule="auto"/>
        <w:ind w:left="284" w:hanging="284"/>
        <w:jc w:val="both"/>
        <w:rPr>
          <w:b/>
          <w:bCs/>
          <w:sz w:val="22"/>
          <w:szCs w:val="22"/>
        </w:rPr>
      </w:pPr>
      <w:r w:rsidRPr="00F510FE">
        <w:rPr>
          <w:b/>
          <w:bCs/>
          <w:sz w:val="22"/>
          <w:szCs w:val="22"/>
        </w:rPr>
        <w:t>1.</w:t>
      </w:r>
      <w:r w:rsidRPr="00F510FE">
        <w:rPr>
          <w:b/>
          <w:bCs/>
          <w:sz w:val="22"/>
          <w:szCs w:val="22"/>
        </w:rPr>
        <w:tab/>
        <w:t>Meno spracovateľa oznámenia.</w:t>
      </w:r>
    </w:p>
    <w:p w14:paraId="6FAE5802" w14:textId="77777777" w:rsidR="0067398D" w:rsidRPr="00F510FE" w:rsidRDefault="0067398D" w:rsidP="00DC39FD">
      <w:pPr>
        <w:spacing w:line="276" w:lineRule="auto"/>
        <w:ind w:left="284"/>
        <w:jc w:val="both"/>
        <w:rPr>
          <w:sz w:val="22"/>
          <w:szCs w:val="22"/>
        </w:rPr>
      </w:pPr>
      <w:r w:rsidRPr="00F510FE">
        <w:rPr>
          <w:sz w:val="22"/>
          <w:szCs w:val="22"/>
        </w:rPr>
        <w:t>Ing. Elena Chrenková Kušnírová</w:t>
      </w:r>
    </w:p>
    <w:p w14:paraId="0E732ADB" w14:textId="77777777" w:rsidR="0067398D" w:rsidRPr="00F510FE" w:rsidRDefault="0067398D" w:rsidP="00DC39FD">
      <w:pPr>
        <w:spacing w:line="276" w:lineRule="auto"/>
        <w:ind w:left="284"/>
        <w:jc w:val="both"/>
        <w:rPr>
          <w:sz w:val="22"/>
          <w:szCs w:val="22"/>
        </w:rPr>
      </w:pPr>
      <w:r w:rsidRPr="00F510FE">
        <w:rPr>
          <w:sz w:val="22"/>
          <w:szCs w:val="22"/>
        </w:rPr>
        <w:t>vedúca oddelenia programovania</w:t>
      </w:r>
    </w:p>
    <w:p w14:paraId="733FDD36" w14:textId="7ED0BC2E" w:rsidR="0067398D" w:rsidRPr="00F510FE" w:rsidRDefault="0067398D" w:rsidP="00DC39FD">
      <w:pPr>
        <w:spacing w:line="276" w:lineRule="auto"/>
        <w:ind w:left="284"/>
        <w:jc w:val="both"/>
        <w:rPr>
          <w:sz w:val="22"/>
          <w:szCs w:val="22"/>
        </w:rPr>
      </w:pPr>
      <w:r w:rsidRPr="00F510FE">
        <w:rPr>
          <w:sz w:val="22"/>
          <w:szCs w:val="22"/>
        </w:rPr>
        <w:t xml:space="preserve">odbor </w:t>
      </w:r>
      <w:r w:rsidR="00744056">
        <w:rPr>
          <w:sz w:val="22"/>
          <w:szCs w:val="22"/>
        </w:rPr>
        <w:t>programovania a metodiky</w:t>
      </w:r>
    </w:p>
    <w:p w14:paraId="74164FA8" w14:textId="4F62D33B" w:rsidR="0067398D" w:rsidRPr="00F510FE" w:rsidRDefault="0067398D" w:rsidP="00DC39FD">
      <w:pPr>
        <w:tabs>
          <w:tab w:val="left" w:pos="426"/>
        </w:tabs>
        <w:spacing w:line="276" w:lineRule="auto"/>
        <w:ind w:left="284"/>
        <w:jc w:val="both"/>
        <w:rPr>
          <w:sz w:val="22"/>
          <w:szCs w:val="22"/>
        </w:rPr>
      </w:pPr>
      <w:r w:rsidRPr="00F510FE">
        <w:rPr>
          <w:sz w:val="22"/>
          <w:szCs w:val="22"/>
        </w:rPr>
        <w:t xml:space="preserve">Ministerstvo </w:t>
      </w:r>
      <w:r w:rsidR="00744056">
        <w:rPr>
          <w:sz w:val="22"/>
          <w:szCs w:val="22"/>
        </w:rPr>
        <w:t>investícií, regionálneho rozvoja a informatizácie</w:t>
      </w:r>
      <w:r w:rsidR="00744056" w:rsidRPr="00F510FE">
        <w:rPr>
          <w:sz w:val="22"/>
          <w:szCs w:val="22"/>
        </w:rPr>
        <w:t xml:space="preserve"> </w:t>
      </w:r>
      <w:r w:rsidRPr="00F510FE">
        <w:rPr>
          <w:sz w:val="22"/>
          <w:szCs w:val="22"/>
        </w:rPr>
        <w:t>SR</w:t>
      </w:r>
    </w:p>
    <w:p w14:paraId="16FAE7BB" w14:textId="77777777" w:rsidR="0067398D" w:rsidRPr="00F510FE" w:rsidRDefault="002258C1" w:rsidP="00DC39FD">
      <w:pPr>
        <w:spacing w:line="276" w:lineRule="auto"/>
        <w:ind w:left="284"/>
        <w:rPr>
          <w:bCs/>
          <w:sz w:val="22"/>
          <w:szCs w:val="22"/>
        </w:rPr>
      </w:pPr>
      <w:r w:rsidRPr="00F510FE">
        <w:rPr>
          <w:bCs/>
          <w:sz w:val="22"/>
          <w:szCs w:val="22"/>
        </w:rPr>
        <w:t>Račianska 153/A</w:t>
      </w:r>
      <w:r w:rsidR="0067398D" w:rsidRPr="00F510FE">
        <w:rPr>
          <w:bCs/>
          <w:sz w:val="22"/>
          <w:szCs w:val="22"/>
        </w:rPr>
        <w:t xml:space="preserve"> </w:t>
      </w:r>
    </w:p>
    <w:p w14:paraId="3298A29D" w14:textId="77777777" w:rsidR="0067398D" w:rsidRPr="00F510FE" w:rsidRDefault="0067398D" w:rsidP="00DC39FD">
      <w:pPr>
        <w:spacing w:line="276" w:lineRule="auto"/>
        <w:ind w:left="284"/>
        <w:rPr>
          <w:bCs/>
          <w:sz w:val="22"/>
          <w:szCs w:val="22"/>
        </w:rPr>
      </w:pPr>
      <w:r w:rsidRPr="00F510FE">
        <w:rPr>
          <w:bCs/>
          <w:sz w:val="22"/>
          <w:szCs w:val="22"/>
        </w:rPr>
        <w:t>P.O.BOX 1</w:t>
      </w:r>
    </w:p>
    <w:p w14:paraId="24A324EC" w14:textId="77777777" w:rsidR="0067398D" w:rsidRPr="00F510FE" w:rsidRDefault="0067398D" w:rsidP="00DC39FD">
      <w:pPr>
        <w:spacing w:line="276" w:lineRule="auto"/>
        <w:ind w:left="284"/>
        <w:rPr>
          <w:bCs/>
          <w:sz w:val="22"/>
          <w:szCs w:val="22"/>
        </w:rPr>
      </w:pPr>
      <w:r w:rsidRPr="00F510FE">
        <w:rPr>
          <w:bCs/>
          <w:sz w:val="22"/>
          <w:szCs w:val="22"/>
        </w:rPr>
        <w:t>830 03 Bratislava 33</w:t>
      </w:r>
    </w:p>
    <w:p w14:paraId="21CC3AF1" w14:textId="331F055D" w:rsidR="0067398D" w:rsidRPr="00F510FE" w:rsidRDefault="001B301B" w:rsidP="00DC39FD">
      <w:pPr>
        <w:tabs>
          <w:tab w:val="left" w:pos="426"/>
        </w:tabs>
        <w:spacing w:line="276" w:lineRule="auto"/>
        <w:ind w:left="284"/>
        <w:jc w:val="both"/>
        <w:rPr>
          <w:sz w:val="22"/>
          <w:szCs w:val="22"/>
        </w:rPr>
      </w:pPr>
      <w:r w:rsidRPr="00F510FE">
        <w:rPr>
          <w:sz w:val="22"/>
          <w:szCs w:val="22"/>
        </w:rPr>
        <w:t>Tel</w:t>
      </w:r>
      <w:r w:rsidR="0067398D" w:rsidRPr="00F510FE">
        <w:rPr>
          <w:sz w:val="22"/>
          <w:szCs w:val="22"/>
        </w:rPr>
        <w:t xml:space="preserve">: +421 2 </w:t>
      </w:r>
      <w:r w:rsidR="000B1391">
        <w:rPr>
          <w:sz w:val="22"/>
          <w:szCs w:val="22"/>
        </w:rPr>
        <w:t>2092</w:t>
      </w:r>
      <w:r w:rsidR="0067398D" w:rsidRPr="00F510FE">
        <w:rPr>
          <w:sz w:val="22"/>
          <w:szCs w:val="22"/>
        </w:rPr>
        <w:t xml:space="preserve"> </w:t>
      </w:r>
      <w:r w:rsidR="000B1391">
        <w:rPr>
          <w:sz w:val="22"/>
          <w:szCs w:val="22"/>
        </w:rPr>
        <w:t>8606</w:t>
      </w:r>
    </w:p>
    <w:p w14:paraId="32FDF4C9" w14:textId="6D8D7069" w:rsidR="0067398D" w:rsidRPr="00F510FE" w:rsidRDefault="0067398D" w:rsidP="00DC39FD">
      <w:pPr>
        <w:tabs>
          <w:tab w:val="left" w:pos="426"/>
        </w:tabs>
        <w:spacing w:line="276" w:lineRule="auto"/>
        <w:ind w:left="284"/>
        <w:jc w:val="both"/>
        <w:rPr>
          <w:sz w:val="22"/>
          <w:szCs w:val="22"/>
          <w:lang w:val="en-US"/>
        </w:rPr>
      </w:pPr>
      <w:r w:rsidRPr="00F510FE">
        <w:rPr>
          <w:sz w:val="22"/>
          <w:szCs w:val="22"/>
        </w:rPr>
        <w:t xml:space="preserve">e-mail: </w:t>
      </w:r>
      <w:hyperlink r:id="rId14" w:history="1">
        <w:r w:rsidR="00B9287A" w:rsidRPr="006B2C9C">
          <w:rPr>
            <w:rStyle w:val="Hypertextovprepojenie"/>
            <w:sz w:val="22"/>
            <w:szCs w:val="22"/>
          </w:rPr>
          <w:t>elena.chrenkova.kusnirova@mirri.gov.sk</w:t>
        </w:r>
      </w:hyperlink>
      <w:r w:rsidRPr="00F510FE">
        <w:rPr>
          <w:sz w:val="22"/>
          <w:szCs w:val="22"/>
          <w:lang w:val="en-US"/>
        </w:rPr>
        <w:t xml:space="preserve"> </w:t>
      </w:r>
    </w:p>
    <w:p w14:paraId="1739DAF1" w14:textId="0B26B459" w:rsidR="00E54ACB" w:rsidRPr="00F510FE" w:rsidRDefault="00E54ACB" w:rsidP="00DC39FD">
      <w:pPr>
        <w:spacing w:before="120" w:line="276" w:lineRule="auto"/>
        <w:ind w:left="284" w:hanging="284"/>
        <w:jc w:val="both"/>
        <w:rPr>
          <w:b/>
          <w:bCs/>
          <w:sz w:val="22"/>
          <w:szCs w:val="22"/>
        </w:rPr>
      </w:pPr>
      <w:r w:rsidRPr="00F510FE">
        <w:rPr>
          <w:b/>
          <w:bCs/>
          <w:sz w:val="22"/>
          <w:szCs w:val="22"/>
        </w:rPr>
        <w:t>2.</w:t>
      </w:r>
      <w:r w:rsidRPr="00F510FE">
        <w:rPr>
          <w:b/>
          <w:bCs/>
          <w:sz w:val="22"/>
          <w:szCs w:val="22"/>
        </w:rPr>
        <w:tab/>
        <w:t>Potvrdenie správnosti údajov oznámenia podpisom oprávneného z</w:t>
      </w:r>
      <w:r w:rsidR="00EB2F61" w:rsidRPr="00F510FE">
        <w:rPr>
          <w:b/>
          <w:bCs/>
          <w:sz w:val="22"/>
          <w:szCs w:val="22"/>
        </w:rPr>
        <w:t>ástupcu obstarávateľa, pečiatka</w:t>
      </w:r>
    </w:p>
    <w:p w14:paraId="5633326D" w14:textId="083408DD" w:rsidR="0067398D" w:rsidRPr="00F510FE" w:rsidRDefault="00744056" w:rsidP="00DC39FD">
      <w:pPr>
        <w:spacing w:before="120" w:line="276" w:lineRule="auto"/>
        <w:ind w:left="284"/>
        <w:jc w:val="both"/>
        <w:rPr>
          <w:sz w:val="22"/>
          <w:szCs w:val="22"/>
        </w:rPr>
      </w:pPr>
      <w:r>
        <w:rPr>
          <w:sz w:val="22"/>
          <w:szCs w:val="22"/>
        </w:rPr>
        <w:t>Mgr. Andrej Kosmovský</w:t>
      </w:r>
    </w:p>
    <w:p w14:paraId="05225CF6" w14:textId="0E66E09E" w:rsidR="0067398D" w:rsidRPr="00F510FE" w:rsidRDefault="0067398D" w:rsidP="00DC39FD">
      <w:pPr>
        <w:spacing w:line="276" w:lineRule="auto"/>
        <w:ind w:left="284"/>
        <w:jc w:val="both"/>
        <w:rPr>
          <w:sz w:val="22"/>
          <w:szCs w:val="22"/>
        </w:rPr>
      </w:pPr>
      <w:r w:rsidRPr="00F510FE">
        <w:rPr>
          <w:sz w:val="22"/>
          <w:szCs w:val="22"/>
        </w:rPr>
        <w:t xml:space="preserve">riaditeľ odboru </w:t>
      </w:r>
      <w:r w:rsidR="00744056">
        <w:rPr>
          <w:sz w:val="22"/>
          <w:szCs w:val="22"/>
        </w:rPr>
        <w:t>programovania a metodiky</w:t>
      </w:r>
    </w:p>
    <w:p w14:paraId="12550949" w14:textId="03AD9607" w:rsidR="0067398D" w:rsidRPr="00F510FE" w:rsidRDefault="0067398D" w:rsidP="00DC39FD">
      <w:pPr>
        <w:tabs>
          <w:tab w:val="left" w:pos="426"/>
        </w:tabs>
        <w:spacing w:line="276" w:lineRule="auto"/>
        <w:ind w:left="284"/>
        <w:jc w:val="both"/>
        <w:rPr>
          <w:sz w:val="22"/>
          <w:szCs w:val="22"/>
        </w:rPr>
      </w:pPr>
      <w:r w:rsidRPr="00F510FE">
        <w:rPr>
          <w:sz w:val="22"/>
          <w:szCs w:val="22"/>
        </w:rPr>
        <w:t xml:space="preserve">Ministerstvo </w:t>
      </w:r>
      <w:r w:rsidR="00744056">
        <w:rPr>
          <w:sz w:val="22"/>
          <w:szCs w:val="22"/>
        </w:rPr>
        <w:t>investícií, regionálneho rozvoja a informatizácie</w:t>
      </w:r>
      <w:r w:rsidR="00744056" w:rsidRPr="00F510FE">
        <w:rPr>
          <w:sz w:val="22"/>
          <w:szCs w:val="22"/>
        </w:rPr>
        <w:t xml:space="preserve"> </w:t>
      </w:r>
      <w:r w:rsidRPr="00F510FE">
        <w:rPr>
          <w:sz w:val="22"/>
          <w:szCs w:val="22"/>
        </w:rPr>
        <w:t>SR</w:t>
      </w:r>
    </w:p>
    <w:p w14:paraId="6351E6AC" w14:textId="77777777" w:rsidR="0067398D" w:rsidRPr="00F510FE" w:rsidRDefault="002258C1" w:rsidP="00DC39FD">
      <w:pPr>
        <w:spacing w:line="276" w:lineRule="auto"/>
        <w:ind w:left="284"/>
        <w:rPr>
          <w:bCs/>
          <w:sz w:val="22"/>
          <w:szCs w:val="22"/>
        </w:rPr>
      </w:pPr>
      <w:r w:rsidRPr="00F510FE">
        <w:rPr>
          <w:bCs/>
          <w:sz w:val="22"/>
          <w:szCs w:val="22"/>
        </w:rPr>
        <w:t>Račianska 153/A</w:t>
      </w:r>
      <w:r w:rsidR="0067398D" w:rsidRPr="00F510FE">
        <w:rPr>
          <w:bCs/>
          <w:sz w:val="22"/>
          <w:szCs w:val="22"/>
        </w:rPr>
        <w:t xml:space="preserve"> </w:t>
      </w:r>
    </w:p>
    <w:p w14:paraId="580B3451" w14:textId="77777777" w:rsidR="0067398D" w:rsidRPr="00F510FE" w:rsidRDefault="0067398D" w:rsidP="00DC39FD">
      <w:pPr>
        <w:spacing w:line="276" w:lineRule="auto"/>
        <w:ind w:left="284"/>
        <w:rPr>
          <w:bCs/>
          <w:sz w:val="22"/>
          <w:szCs w:val="22"/>
        </w:rPr>
      </w:pPr>
      <w:r w:rsidRPr="00F510FE">
        <w:rPr>
          <w:bCs/>
          <w:sz w:val="22"/>
          <w:szCs w:val="22"/>
        </w:rPr>
        <w:t>P.O.BOX 1</w:t>
      </w:r>
    </w:p>
    <w:p w14:paraId="40E2ED7A" w14:textId="77777777" w:rsidR="0067398D" w:rsidRPr="00F510FE" w:rsidRDefault="0067398D" w:rsidP="00DC39FD">
      <w:pPr>
        <w:spacing w:line="276" w:lineRule="auto"/>
        <w:ind w:left="284"/>
        <w:rPr>
          <w:bCs/>
          <w:sz w:val="22"/>
          <w:szCs w:val="22"/>
        </w:rPr>
      </w:pPr>
      <w:r w:rsidRPr="00F510FE">
        <w:rPr>
          <w:bCs/>
          <w:sz w:val="22"/>
          <w:szCs w:val="22"/>
        </w:rPr>
        <w:t>830 03 Bratislava 33</w:t>
      </w:r>
    </w:p>
    <w:p w14:paraId="5CBD4A4B" w14:textId="5E514452" w:rsidR="0067398D" w:rsidRPr="00F510FE" w:rsidRDefault="001B301B" w:rsidP="00DC39FD">
      <w:pPr>
        <w:tabs>
          <w:tab w:val="left" w:pos="426"/>
        </w:tabs>
        <w:spacing w:line="276" w:lineRule="auto"/>
        <w:ind w:left="284"/>
        <w:jc w:val="both"/>
        <w:rPr>
          <w:sz w:val="22"/>
          <w:szCs w:val="22"/>
        </w:rPr>
      </w:pPr>
      <w:r w:rsidRPr="00F510FE">
        <w:rPr>
          <w:sz w:val="22"/>
          <w:szCs w:val="22"/>
        </w:rPr>
        <w:t>Tel</w:t>
      </w:r>
      <w:r w:rsidR="0067398D" w:rsidRPr="00F510FE">
        <w:rPr>
          <w:sz w:val="22"/>
          <w:szCs w:val="22"/>
        </w:rPr>
        <w:t xml:space="preserve">: +421 2 </w:t>
      </w:r>
      <w:r w:rsidR="000B1391">
        <w:rPr>
          <w:sz w:val="22"/>
          <w:szCs w:val="22"/>
        </w:rPr>
        <w:t>2092</w:t>
      </w:r>
      <w:r w:rsidR="0067398D" w:rsidRPr="00F510FE">
        <w:rPr>
          <w:sz w:val="22"/>
          <w:szCs w:val="22"/>
        </w:rPr>
        <w:t xml:space="preserve"> </w:t>
      </w:r>
      <w:r w:rsidR="000B1391">
        <w:rPr>
          <w:sz w:val="22"/>
          <w:szCs w:val="22"/>
        </w:rPr>
        <w:t>8704</w:t>
      </w:r>
    </w:p>
    <w:p w14:paraId="64D80B71" w14:textId="15FD4202" w:rsidR="0067398D" w:rsidRPr="00F510FE" w:rsidRDefault="0067398D" w:rsidP="00DC39FD">
      <w:pPr>
        <w:tabs>
          <w:tab w:val="left" w:pos="426"/>
        </w:tabs>
        <w:spacing w:line="276" w:lineRule="auto"/>
        <w:ind w:left="284"/>
        <w:jc w:val="both"/>
        <w:rPr>
          <w:sz w:val="22"/>
          <w:szCs w:val="22"/>
          <w:lang w:val="en-US"/>
        </w:rPr>
      </w:pPr>
      <w:r w:rsidRPr="00F510FE">
        <w:rPr>
          <w:sz w:val="22"/>
          <w:szCs w:val="22"/>
        </w:rPr>
        <w:t xml:space="preserve">e-mail: </w:t>
      </w:r>
      <w:hyperlink r:id="rId15" w:history="1">
        <w:r w:rsidR="00744056" w:rsidRPr="005C2509">
          <w:rPr>
            <w:rStyle w:val="Hypertextovprepojenie"/>
            <w:sz w:val="22"/>
            <w:szCs w:val="22"/>
          </w:rPr>
          <w:t>andrej.kosmovsky@mirri.gov.sk</w:t>
        </w:r>
      </w:hyperlink>
      <w:r w:rsidRPr="00F510FE">
        <w:rPr>
          <w:sz w:val="22"/>
          <w:szCs w:val="22"/>
          <w:lang w:val="en-US"/>
        </w:rPr>
        <w:t xml:space="preserve"> </w:t>
      </w:r>
    </w:p>
    <w:p w14:paraId="4519B45C" w14:textId="77777777" w:rsidR="0067398D" w:rsidRPr="00F510FE" w:rsidRDefault="0067398D" w:rsidP="00DC39FD">
      <w:pPr>
        <w:spacing w:line="276" w:lineRule="auto"/>
        <w:ind w:left="284"/>
        <w:rPr>
          <w:sz w:val="22"/>
          <w:szCs w:val="22"/>
        </w:rPr>
      </w:pPr>
    </w:p>
    <w:p w14:paraId="3B2F6571" w14:textId="2E0C9A80" w:rsidR="00A2796E" w:rsidRPr="00F510FE" w:rsidRDefault="00744056" w:rsidP="00DC39FD">
      <w:pPr>
        <w:spacing w:line="276" w:lineRule="auto"/>
        <w:ind w:left="284"/>
        <w:jc w:val="both"/>
        <w:rPr>
          <w:sz w:val="22"/>
          <w:szCs w:val="22"/>
        </w:rPr>
      </w:pPr>
      <w:r>
        <w:rPr>
          <w:sz w:val="22"/>
          <w:szCs w:val="22"/>
        </w:rPr>
        <w:t>Ing. Albert Németh</w:t>
      </w:r>
    </w:p>
    <w:p w14:paraId="24537EC3" w14:textId="5F0BF122" w:rsidR="00A2796E" w:rsidRPr="00F510FE" w:rsidRDefault="00A2796E" w:rsidP="00DC39FD">
      <w:pPr>
        <w:spacing w:line="276" w:lineRule="auto"/>
        <w:ind w:left="284"/>
        <w:jc w:val="both"/>
        <w:rPr>
          <w:sz w:val="22"/>
          <w:szCs w:val="22"/>
        </w:rPr>
      </w:pPr>
      <w:r w:rsidRPr="00F510FE">
        <w:rPr>
          <w:sz w:val="22"/>
          <w:szCs w:val="22"/>
        </w:rPr>
        <w:t xml:space="preserve">generálny riaditeľ sekcie </w:t>
      </w:r>
      <w:r w:rsidR="00744056">
        <w:rPr>
          <w:sz w:val="22"/>
          <w:szCs w:val="22"/>
        </w:rPr>
        <w:t>IROP</w:t>
      </w:r>
    </w:p>
    <w:p w14:paraId="3232C918" w14:textId="62CAF3B7" w:rsidR="00A2796E" w:rsidRPr="00F510FE" w:rsidRDefault="00A2796E" w:rsidP="00DC39FD">
      <w:pPr>
        <w:spacing w:line="276" w:lineRule="auto"/>
        <w:ind w:left="284"/>
        <w:jc w:val="both"/>
        <w:rPr>
          <w:sz w:val="22"/>
          <w:szCs w:val="22"/>
        </w:rPr>
      </w:pPr>
      <w:r w:rsidRPr="00F510FE">
        <w:rPr>
          <w:sz w:val="22"/>
          <w:szCs w:val="22"/>
        </w:rPr>
        <w:t xml:space="preserve">Ministerstvo </w:t>
      </w:r>
      <w:r w:rsidR="00744056">
        <w:rPr>
          <w:sz w:val="22"/>
          <w:szCs w:val="22"/>
        </w:rPr>
        <w:t>investícií, regionálneho rozvoja a informatizácie</w:t>
      </w:r>
      <w:r w:rsidR="00744056" w:rsidRPr="00F510FE">
        <w:rPr>
          <w:sz w:val="22"/>
          <w:szCs w:val="22"/>
        </w:rPr>
        <w:t xml:space="preserve"> </w:t>
      </w:r>
      <w:r w:rsidRPr="00F510FE">
        <w:rPr>
          <w:sz w:val="22"/>
          <w:szCs w:val="22"/>
        </w:rPr>
        <w:t>SR</w:t>
      </w:r>
    </w:p>
    <w:p w14:paraId="615977C8" w14:textId="77777777" w:rsidR="00A2796E" w:rsidRPr="00F510FE" w:rsidRDefault="00A2796E" w:rsidP="00DC39FD">
      <w:pPr>
        <w:spacing w:line="276" w:lineRule="auto"/>
        <w:ind w:left="284"/>
        <w:jc w:val="both"/>
        <w:rPr>
          <w:sz w:val="22"/>
          <w:szCs w:val="22"/>
        </w:rPr>
      </w:pPr>
      <w:r w:rsidRPr="00F510FE">
        <w:rPr>
          <w:sz w:val="22"/>
          <w:szCs w:val="22"/>
        </w:rPr>
        <w:t xml:space="preserve">Račianska 153/A </w:t>
      </w:r>
    </w:p>
    <w:p w14:paraId="40551A3C" w14:textId="77777777" w:rsidR="00A2796E" w:rsidRPr="00F510FE" w:rsidRDefault="00A2796E" w:rsidP="00DC39FD">
      <w:pPr>
        <w:spacing w:line="276" w:lineRule="auto"/>
        <w:ind w:left="284"/>
        <w:jc w:val="both"/>
        <w:rPr>
          <w:sz w:val="22"/>
          <w:szCs w:val="22"/>
        </w:rPr>
      </w:pPr>
      <w:r w:rsidRPr="00F510FE">
        <w:rPr>
          <w:sz w:val="22"/>
          <w:szCs w:val="22"/>
        </w:rPr>
        <w:t>P.O.BOX 1</w:t>
      </w:r>
    </w:p>
    <w:p w14:paraId="1BDC3CD3" w14:textId="77777777" w:rsidR="00A2796E" w:rsidRPr="00F510FE" w:rsidRDefault="00A2796E" w:rsidP="00DC39FD">
      <w:pPr>
        <w:spacing w:line="276" w:lineRule="auto"/>
        <w:ind w:left="284"/>
        <w:jc w:val="both"/>
        <w:rPr>
          <w:sz w:val="22"/>
          <w:szCs w:val="22"/>
        </w:rPr>
      </w:pPr>
      <w:r w:rsidRPr="00F510FE">
        <w:rPr>
          <w:sz w:val="22"/>
          <w:szCs w:val="22"/>
        </w:rPr>
        <w:t>830 03  Bratislava 33</w:t>
      </w:r>
    </w:p>
    <w:p w14:paraId="6B163A00" w14:textId="0150F740" w:rsidR="00A2796E" w:rsidRPr="00F510FE" w:rsidRDefault="00A2796E" w:rsidP="00DC39FD">
      <w:pPr>
        <w:spacing w:line="276" w:lineRule="auto"/>
        <w:ind w:left="284"/>
        <w:jc w:val="both"/>
        <w:rPr>
          <w:sz w:val="22"/>
          <w:szCs w:val="22"/>
        </w:rPr>
      </w:pPr>
      <w:r w:rsidRPr="00F510FE">
        <w:rPr>
          <w:sz w:val="22"/>
          <w:szCs w:val="22"/>
        </w:rPr>
        <w:t xml:space="preserve">Tel: +421 2 </w:t>
      </w:r>
      <w:r w:rsidR="000B1391">
        <w:rPr>
          <w:sz w:val="22"/>
          <w:szCs w:val="22"/>
        </w:rPr>
        <w:t>2092</w:t>
      </w:r>
      <w:r w:rsidRPr="00F510FE">
        <w:rPr>
          <w:sz w:val="22"/>
          <w:szCs w:val="22"/>
        </w:rPr>
        <w:t xml:space="preserve"> </w:t>
      </w:r>
      <w:r w:rsidR="000B1391">
        <w:rPr>
          <w:sz w:val="22"/>
          <w:szCs w:val="22"/>
        </w:rPr>
        <w:t>8602</w:t>
      </w:r>
    </w:p>
    <w:p w14:paraId="30F75A31" w14:textId="2D95DD34" w:rsidR="00E54ACB" w:rsidRPr="00094181" w:rsidRDefault="00A2796E" w:rsidP="00DC39FD">
      <w:pPr>
        <w:spacing w:line="276" w:lineRule="auto"/>
        <w:ind w:left="284"/>
        <w:jc w:val="both"/>
        <w:rPr>
          <w:sz w:val="22"/>
          <w:szCs w:val="22"/>
          <w:lang w:val="en-US"/>
        </w:rPr>
      </w:pPr>
      <w:r w:rsidRPr="00F510FE">
        <w:rPr>
          <w:sz w:val="22"/>
          <w:szCs w:val="22"/>
        </w:rPr>
        <w:t xml:space="preserve">e-mail: </w:t>
      </w:r>
      <w:hyperlink r:id="rId16" w:history="1">
        <w:r w:rsidR="00744056" w:rsidRPr="005C2509">
          <w:rPr>
            <w:rStyle w:val="Hypertextovprepojenie"/>
            <w:sz w:val="22"/>
            <w:szCs w:val="22"/>
          </w:rPr>
          <w:t>albert.nemeth@mirri.gov.sk</w:t>
        </w:r>
      </w:hyperlink>
      <w:r>
        <w:rPr>
          <w:sz w:val="22"/>
          <w:szCs w:val="22"/>
          <w:lang w:val="en-US"/>
        </w:rPr>
        <w:t xml:space="preserve"> </w:t>
      </w:r>
    </w:p>
    <w:sectPr w:rsidR="00E54ACB" w:rsidRPr="00094181" w:rsidSect="00377D51">
      <w:pgSz w:w="11906" w:h="16838"/>
      <w:pgMar w:top="1276" w:right="992" w:bottom="1134" w:left="124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865B" w14:textId="77777777" w:rsidR="00C11675" w:rsidRDefault="00C11675" w:rsidP="00EB4EE8">
      <w:r>
        <w:separator/>
      </w:r>
    </w:p>
  </w:endnote>
  <w:endnote w:type="continuationSeparator" w:id="0">
    <w:p w14:paraId="70A310CD" w14:textId="77777777" w:rsidR="00C11675" w:rsidRDefault="00C11675" w:rsidP="00E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39355"/>
      <w:docPartObj>
        <w:docPartGallery w:val="Page Numbers (Bottom of Page)"/>
        <w:docPartUnique/>
      </w:docPartObj>
    </w:sdtPr>
    <w:sdtEndPr>
      <w:rPr>
        <w:sz w:val="20"/>
        <w:szCs w:val="20"/>
      </w:rPr>
    </w:sdtEndPr>
    <w:sdtContent>
      <w:p w14:paraId="175D583D" w14:textId="73A39BE6" w:rsidR="00C11675" w:rsidRPr="007347B1" w:rsidRDefault="00C11675" w:rsidP="00724642">
        <w:pPr>
          <w:pStyle w:val="Pta"/>
          <w:jc w:val="right"/>
          <w:rPr>
            <w:sz w:val="20"/>
            <w:szCs w:val="20"/>
          </w:rPr>
        </w:pPr>
        <w:r w:rsidRPr="007347B1">
          <w:rPr>
            <w:sz w:val="20"/>
            <w:szCs w:val="20"/>
          </w:rPr>
          <w:fldChar w:fldCharType="begin"/>
        </w:r>
        <w:r w:rsidRPr="007347B1">
          <w:rPr>
            <w:sz w:val="20"/>
            <w:szCs w:val="20"/>
          </w:rPr>
          <w:instrText>PAGE   \* MERGEFORMAT</w:instrText>
        </w:r>
        <w:r w:rsidRPr="007347B1">
          <w:rPr>
            <w:sz w:val="20"/>
            <w:szCs w:val="20"/>
          </w:rPr>
          <w:fldChar w:fldCharType="separate"/>
        </w:r>
        <w:r w:rsidR="0087675E">
          <w:rPr>
            <w:noProof/>
            <w:sz w:val="20"/>
            <w:szCs w:val="20"/>
          </w:rPr>
          <w:t>21</w:t>
        </w:r>
        <w:r w:rsidRPr="007347B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05AD" w14:textId="77777777" w:rsidR="00C11675" w:rsidRDefault="00C11675" w:rsidP="00EB4EE8">
      <w:r>
        <w:separator/>
      </w:r>
    </w:p>
  </w:footnote>
  <w:footnote w:type="continuationSeparator" w:id="0">
    <w:p w14:paraId="1C73AB3F" w14:textId="77777777" w:rsidR="00C11675" w:rsidRDefault="00C11675" w:rsidP="00EB4E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578"/>
    <w:multiLevelType w:val="hybridMultilevel"/>
    <w:tmpl w:val="AE521A78"/>
    <w:lvl w:ilvl="0" w:tplc="041B000F">
      <w:start w:val="1"/>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DC"/>
    <w:multiLevelType w:val="hybridMultilevel"/>
    <w:tmpl w:val="479CBB5A"/>
    <w:lvl w:ilvl="0" w:tplc="1F8A4E46">
      <w:start w:val="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0F2D51"/>
    <w:multiLevelType w:val="hybridMultilevel"/>
    <w:tmpl w:val="01601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A062CC"/>
    <w:multiLevelType w:val="hybridMultilevel"/>
    <w:tmpl w:val="F2FA2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D71384"/>
    <w:multiLevelType w:val="hybridMultilevel"/>
    <w:tmpl w:val="538A56C8"/>
    <w:lvl w:ilvl="0" w:tplc="8E8AB612">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98B42B3"/>
    <w:multiLevelType w:val="hybridMultilevel"/>
    <w:tmpl w:val="1618109A"/>
    <w:lvl w:ilvl="0" w:tplc="2B8A9EC4">
      <w:start w:val="1"/>
      <w:numFmt w:val="bullet"/>
      <w:lvlText w:val="•"/>
      <w:lvlJc w:val="left"/>
      <w:pPr>
        <w:tabs>
          <w:tab w:val="num" w:pos="720"/>
        </w:tabs>
        <w:ind w:left="720" w:hanging="360"/>
      </w:pPr>
      <w:rPr>
        <w:rFonts w:ascii="Georgia" w:hAnsi="Georgia" w:hint="default"/>
      </w:rPr>
    </w:lvl>
    <w:lvl w:ilvl="1" w:tplc="6D9A43A4">
      <w:start w:val="27"/>
      <w:numFmt w:val="bullet"/>
      <w:lvlText w:val="▫"/>
      <w:lvlJc w:val="left"/>
      <w:pPr>
        <w:tabs>
          <w:tab w:val="num" w:pos="1440"/>
        </w:tabs>
        <w:ind w:left="1440" w:hanging="360"/>
      </w:pPr>
      <w:rPr>
        <w:rFonts w:ascii="Georgia" w:hAnsi="Georgia" w:hint="default"/>
      </w:rPr>
    </w:lvl>
    <w:lvl w:ilvl="2" w:tplc="64105106">
      <w:start w:val="27"/>
      <w:numFmt w:val="bullet"/>
      <w:lvlText w:val=""/>
      <w:lvlJc w:val="left"/>
      <w:pPr>
        <w:tabs>
          <w:tab w:val="num" w:pos="2160"/>
        </w:tabs>
        <w:ind w:left="2160" w:hanging="360"/>
      </w:pPr>
      <w:rPr>
        <w:rFonts w:ascii="Wingdings 2" w:hAnsi="Wingdings 2" w:hint="default"/>
      </w:rPr>
    </w:lvl>
    <w:lvl w:ilvl="3" w:tplc="E6C49760" w:tentative="1">
      <w:start w:val="1"/>
      <w:numFmt w:val="bullet"/>
      <w:lvlText w:val="•"/>
      <w:lvlJc w:val="left"/>
      <w:pPr>
        <w:tabs>
          <w:tab w:val="num" w:pos="2880"/>
        </w:tabs>
        <w:ind w:left="2880" w:hanging="360"/>
      </w:pPr>
      <w:rPr>
        <w:rFonts w:ascii="Georgia" w:hAnsi="Georgia" w:hint="default"/>
      </w:rPr>
    </w:lvl>
    <w:lvl w:ilvl="4" w:tplc="C00E8ED6" w:tentative="1">
      <w:start w:val="1"/>
      <w:numFmt w:val="bullet"/>
      <w:lvlText w:val="•"/>
      <w:lvlJc w:val="left"/>
      <w:pPr>
        <w:tabs>
          <w:tab w:val="num" w:pos="3600"/>
        </w:tabs>
        <w:ind w:left="3600" w:hanging="360"/>
      </w:pPr>
      <w:rPr>
        <w:rFonts w:ascii="Georgia" w:hAnsi="Georgia" w:hint="default"/>
      </w:rPr>
    </w:lvl>
    <w:lvl w:ilvl="5" w:tplc="2A7AE4F8" w:tentative="1">
      <w:start w:val="1"/>
      <w:numFmt w:val="bullet"/>
      <w:lvlText w:val="•"/>
      <w:lvlJc w:val="left"/>
      <w:pPr>
        <w:tabs>
          <w:tab w:val="num" w:pos="4320"/>
        </w:tabs>
        <w:ind w:left="4320" w:hanging="360"/>
      </w:pPr>
      <w:rPr>
        <w:rFonts w:ascii="Georgia" w:hAnsi="Georgia" w:hint="default"/>
      </w:rPr>
    </w:lvl>
    <w:lvl w:ilvl="6" w:tplc="944A408E" w:tentative="1">
      <w:start w:val="1"/>
      <w:numFmt w:val="bullet"/>
      <w:lvlText w:val="•"/>
      <w:lvlJc w:val="left"/>
      <w:pPr>
        <w:tabs>
          <w:tab w:val="num" w:pos="5040"/>
        </w:tabs>
        <w:ind w:left="5040" w:hanging="360"/>
      </w:pPr>
      <w:rPr>
        <w:rFonts w:ascii="Georgia" w:hAnsi="Georgia" w:hint="default"/>
      </w:rPr>
    </w:lvl>
    <w:lvl w:ilvl="7" w:tplc="D4BE26DE" w:tentative="1">
      <w:start w:val="1"/>
      <w:numFmt w:val="bullet"/>
      <w:lvlText w:val="•"/>
      <w:lvlJc w:val="left"/>
      <w:pPr>
        <w:tabs>
          <w:tab w:val="num" w:pos="5760"/>
        </w:tabs>
        <w:ind w:left="5760" w:hanging="360"/>
      </w:pPr>
      <w:rPr>
        <w:rFonts w:ascii="Georgia" w:hAnsi="Georgia" w:hint="default"/>
      </w:rPr>
    </w:lvl>
    <w:lvl w:ilvl="8" w:tplc="59C89F4E"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700318"/>
    <w:multiLevelType w:val="hybridMultilevel"/>
    <w:tmpl w:val="B55053FC"/>
    <w:lvl w:ilvl="0" w:tplc="77929BA2">
      <w:start w:val="4"/>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DC3D55"/>
    <w:multiLevelType w:val="hybridMultilevel"/>
    <w:tmpl w:val="34843D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9531BC"/>
    <w:multiLevelType w:val="hybridMultilevel"/>
    <w:tmpl w:val="1E920C38"/>
    <w:lvl w:ilvl="0" w:tplc="041B000F">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7547CA"/>
    <w:multiLevelType w:val="hybridMultilevel"/>
    <w:tmpl w:val="459020DA"/>
    <w:lvl w:ilvl="0" w:tplc="041B000F">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C661E4"/>
    <w:multiLevelType w:val="hybridMultilevel"/>
    <w:tmpl w:val="5BC28242"/>
    <w:lvl w:ilvl="0" w:tplc="33C224CE">
      <w:start w:val="1"/>
      <w:numFmt w:val="decimal"/>
      <w:lvlText w:val="%1."/>
      <w:lvlJc w:val="left"/>
      <w:pPr>
        <w:ind w:left="720" w:hanging="360"/>
      </w:pPr>
      <w:rPr>
        <w:rFonts w:ascii="Arial Narrow" w:hAnsi="Arial Narrow"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6F34CB"/>
    <w:multiLevelType w:val="multilevel"/>
    <w:tmpl w:val="D4A0B5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F011948"/>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EF3DA0"/>
    <w:multiLevelType w:val="hybridMultilevel"/>
    <w:tmpl w:val="5E543E94"/>
    <w:lvl w:ilvl="0" w:tplc="64A8E6D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ED4D36"/>
    <w:multiLevelType w:val="hybridMultilevel"/>
    <w:tmpl w:val="C6064648"/>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25A27B05"/>
    <w:multiLevelType w:val="hybridMultilevel"/>
    <w:tmpl w:val="63DC4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DE5FB3"/>
    <w:multiLevelType w:val="hybridMultilevel"/>
    <w:tmpl w:val="42F2A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67043C"/>
    <w:multiLevelType w:val="hybridMultilevel"/>
    <w:tmpl w:val="404E5170"/>
    <w:lvl w:ilvl="0" w:tplc="ECBA3BF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7B6BC4"/>
    <w:multiLevelType w:val="hybridMultilevel"/>
    <w:tmpl w:val="25E6561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F7353A"/>
    <w:multiLevelType w:val="hybridMultilevel"/>
    <w:tmpl w:val="19FE6E88"/>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4C6266"/>
    <w:multiLevelType w:val="hybridMultilevel"/>
    <w:tmpl w:val="7824A0F8"/>
    <w:lvl w:ilvl="0" w:tplc="041B0015">
      <w:start w:val="1"/>
      <w:numFmt w:val="upp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B92F6E"/>
    <w:multiLevelType w:val="hybridMultilevel"/>
    <w:tmpl w:val="B4521F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041F07"/>
    <w:multiLevelType w:val="hybridMultilevel"/>
    <w:tmpl w:val="CC429D0E"/>
    <w:lvl w:ilvl="0" w:tplc="0C94D32C">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BA721F"/>
    <w:multiLevelType w:val="hybridMultilevel"/>
    <w:tmpl w:val="C3E01612"/>
    <w:lvl w:ilvl="0" w:tplc="202450E4">
      <w:start w:val="1"/>
      <w:numFmt w:val="bullet"/>
      <w:lvlText w:val=""/>
      <w:lvlJc w:val="left"/>
      <w:pPr>
        <w:tabs>
          <w:tab w:val="num" w:pos="720"/>
        </w:tabs>
        <w:ind w:left="720" w:hanging="360"/>
      </w:pPr>
      <w:rPr>
        <w:rFonts w:ascii="Wingdings 2" w:hAnsi="Wingdings 2" w:hint="default"/>
      </w:rPr>
    </w:lvl>
    <w:lvl w:ilvl="1" w:tplc="B7CEC7BE" w:tentative="1">
      <w:start w:val="1"/>
      <w:numFmt w:val="bullet"/>
      <w:lvlText w:val=""/>
      <w:lvlJc w:val="left"/>
      <w:pPr>
        <w:tabs>
          <w:tab w:val="num" w:pos="1440"/>
        </w:tabs>
        <w:ind w:left="1440" w:hanging="360"/>
      </w:pPr>
      <w:rPr>
        <w:rFonts w:ascii="Wingdings 2" w:hAnsi="Wingdings 2" w:hint="default"/>
      </w:rPr>
    </w:lvl>
    <w:lvl w:ilvl="2" w:tplc="4710BB1C">
      <w:start w:val="1"/>
      <w:numFmt w:val="bullet"/>
      <w:lvlText w:val=""/>
      <w:lvlJc w:val="left"/>
      <w:pPr>
        <w:tabs>
          <w:tab w:val="num" w:pos="2160"/>
        </w:tabs>
        <w:ind w:left="2160" w:hanging="360"/>
      </w:pPr>
      <w:rPr>
        <w:rFonts w:ascii="Wingdings 2" w:hAnsi="Wingdings 2" w:hint="default"/>
      </w:rPr>
    </w:lvl>
    <w:lvl w:ilvl="3" w:tplc="903006A2" w:tentative="1">
      <w:start w:val="1"/>
      <w:numFmt w:val="bullet"/>
      <w:lvlText w:val=""/>
      <w:lvlJc w:val="left"/>
      <w:pPr>
        <w:tabs>
          <w:tab w:val="num" w:pos="2880"/>
        </w:tabs>
        <w:ind w:left="2880" w:hanging="360"/>
      </w:pPr>
      <w:rPr>
        <w:rFonts w:ascii="Wingdings 2" w:hAnsi="Wingdings 2" w:hint="default"/>
      </w:rPr>
    </w:lvl>
    <w:lvl w:ilvl="4" w:tplc="C478DD8A" w:tentative="1">
      <w:start w:val="1"/>
      <w:numFmt w:val="bullet"/>
      <w:lvlText w:val=""/>
      <w:lvlJc w:val="left"/>
      <w:pPr>
        <w:tabs>
          <w:tab w:val="num" w:pos="3600"/>
        </w:tabs>
        <w:ind w:left="3600" w:hanging="360"/>
      </w:pPr>
      <w:rPr>
        <w:rFonts w:ascii="Wingdings 2" w:hAnsi="Wingdings 2" w:hint="default"/>
      </w:rPr>
    </w:lvl>
    <w:lvl w:ilvl="5" w:tplc="7570AAC4" w:tentative="1">
      <w:start w:val="1"/>
      <w:numFmt w:val="bullet"/>
      <w:lvlText w:val=""/>
      <w:lvlJc w:val="left"/>
      <w:pPr>
        <w:tabs>
          <w:tab w:val="num" w:pos="4320"/>
        </w:tabs>
        <w:ind w:left="4320" w:hanging="360"/>
      </w:pPr>
      <w:rPr>
        <w:rFonts w:ascii="Wingdings 2" w:hAnsi="Wingdings 2" w:hint="default"/>
      </w:rPr>
    </w:lvl>
    <w:lvl w:ilvl="6" w:tplc="CA302F6E" w:tentative="1">
      <w:start w:val="1"/>
      <w:numFmt w:val="bullet"/>
      <w:lvlText w:val=""/>
      <w:lvlJc w:val="left"/>
      <w:pPr>
        <w:tabs>
          <w:tab w:val="num" w:pos="5040"/>
        </w:tabs>
        <w:ind w:left="5040" w:hanging="360"/>
      </w:pPr>
      <w:rPr>
        <w:rFonts w:ascii="Wingdings 2" w:hAnsi="Wingdings 2" w:hint="default"/>
      </w:rPr>
    </w:lvl>
    <w:lvl w:ilvl="7" w:tplc="1FF0B460" w:tentative="1">
      <w:start w:val="1"/>
      <w:numFmt w:val="bullet"/>
      <w:lvlText w:val=""/>
      <w:lvlJc w:val="left"/>
      <w:pPr>
        <w:tabs>
          <w:tab w:val="num" w:pos="5760"/>
        </w:tabs>
        <w:ind w:left="5760" w:hanging="360"/>
      </w:pPr>
      <w:rPr>
        <w:rFonts w:ascii="Wingdings 2" w:hAnsi="Wingdings 2" w:hint="default"/>
      </w:rPr>
    </w:lvl>
    <w:lvl w:ilvl="8" w:tplc="7DC0BE5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EEC129E"/>
    <w:multiLevelType w:val="hybridMultilevel"/>
    <w:tmpl w:val="FA7878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0E307C1"/>
    <w:multiLevelType w:val="multilevel"/>
    <w:tmpl w:val="5E2E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D2221"/>
    <w:multiLevelType w:val="hybridMultilevel"/>
    <w:tmpl w:val="0E40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A51F0F"/>
    <w:multiLevelType w:val="hybridMultilevel"/>
    <w:tmpl w:val="D22468CA"/>
    <w:lvl w:ilvl="0" w:tplc="4E8CE17C">
      <w:start w:val="3"/>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7C80A46"/>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2335B8"/>
    <w:multiLevelType w:val="hybridMultilevel"/>
    <w:tmpl w:val="7E504F6A"/>
    <w:lvl w:ilvl="0" w:tplc="2C9EFFE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23C0A82"/>
    <w:multiLevelType w:val="hybridMultilevel"/>
    <w:tmpl w:val="C00865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153079"/>
    <w:multiLevelType w:val="hybridMultilevel"/>
    <w:tmpl w:val="950A4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092F64"/>
    <w:multiLevelType w:val="hybridMultilevel"/>
    <w:tmpl w:val="9258AFD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9A3427"/>
    <w:multiLevelType w:val="hybridMultilevel"/>
    <w:tmpl w:val="F21E1EE6"/>
    <w:lvl w:ilvl="0" w:tplc="441091F2">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D573D"/>
    <w:multiLevelType w:val="hybridMultilevel"/>
    <w:tmpl w:val="FF00562C"/>
    <w:lvl w:ilvl="0" w:tplc="67FED4C2">
      <w:start w:val="1"/>
      <w:numFmt w:val="bullet"/>
      <w:lvlText w:val="•"/>
      <w:lvlJc w:val="left"/>
      <w:pPr>
        <w:tabs>
          <w:tab w:val="num" w:pos="720"/>
        </w:tabs>
        <w:ind w:left="720" w:hanging="360"/>
      </w:pPr>
      <w:rPr>
        <w:rFonts w:ascii="Georgia" w:hAnsi="Georgia" w:hint="default"/>
      </w:rPr>
    </w:lvl>
    <w:lvl w:ilvl="1" w:tplc="CF98B72A">
      <w:start w:val="27"/>
      <w:numFmt w:val="bullet"/>
      <w:lvlText w:val="▫"/>
      <w:lvlJc w:val="left"/>
      <w:pPr>
        <w:tabs>
          <w:tab w:val="num" w:pos="1440"/>
        </w:tabs>
        <w:ind w:left="1440" w:hanging="360"/>
      </w:pPr>
      <w:rPr>
        <w:rFonts w:ascii="Georgia" w:hAnsi="Georgia" w:hint="default"/>
      </w:rPr>
    </w:lvl>
    <w:lvl w:ilvl="2" w:tplc="407C2056" w:tentative="1">
      <w:start w:val="1"/>
      <w:numFmt w:val="bullet"/>
      <w:lvlText w:val="•"/>
      <w:lvlJc w:val="left"/>
      <w:pPr>
        <w:tabs>
          <w:tab w:val="num" w:pos="2160"/>
        </w:tabs>
        <w:ind w:left="2160" w:hanging="360"/>
      </w:pPr>
      <w:rPr>
        <w:rFonts w:ascii="Georgia" w:hAnsi="Georgia" w:hint="default"/>
      </w:rPr>
    </w:lvl>
    <w:lvl w:ilvl="3" w:tplc="DC66E20E" w:tentative="1">
      <w:start w:val="1"/>
      <w:numFmt w:val="bullet"/>
      <w:lvlText w:val="•"/>
      <w:lvlJc w:val="left"/>
      <w:pPr>
        <w:tabs>
          <w:tab w:val="num" w:pos="2880"/>
        </w:tabs>
        <w:ind w:left="2880" w:hanging="360"/>
      </w:pPr>
      <w:rPr>
        <w:rFonts w:ascii="Georgia" w:hAnsi="Georgia" w:hint="default"/>
      </w:rPr>
    </w:lvl>
    <w:lvl w:ilvl="4" w:tplc="C130D7CE" w:tentative="1">
      <w:start w:val="1"/>
      <w:numFmt w:val="bullet"/>
      <w:lvlText w:val="•"/>
      <w:lvlJc w:val="left"/>
      <w:pPr>
        <w:tabs>
          <w:tab w:val="num" w:pos="3600"/>
        </w:tabs>
        <w:ind w:left="3600" w:hanging="360"/>
      </w:pPr>
      <w:rPr>
        <w:rFonts w:ascii="Georgia" w:hAnsi="Georgia" w:hint="default"/>
      </w:rPr>
    </w:lvl>
    <w:lvl w:ilvl="5" w:tplc="ACE2E7F6" w:tentative="1">
      <w:start w:val="1"/>
      <w:numFmt w:val="bullet"/>
      <w:lvlText w:val="•"/>
      <w:lvlJc w:val="left"/>
      <w:pPr>
        <w:tabs>
          <w:tab w:val="num" w:pos="4320"/>
        </w:tabs>
        <w:ind w:left="4320" w:hanging="360"/>
      </w:pPr>
      <w:rPr>
        <w:rFonts w:ascii="Georgia" w:hAnsi="Georgia" w:hint="default"/>
      </w:rPr>
    </w:lvl>
    <w:lvl w:ilvl="6" w:tplc="6B7E2172" w:tentative="1">
      <w:start w:val="1"/>
      <w:numFmt w:val="bullet"/>
      <w:lvlText w:val="•"/>
      <w:lvlJc w:val="left"/>
      <w:pPr>
        <w:tabs>
          <w:tab w:val="num" w:pos="5040"/>
        </w:tabs>
        <w:ind w:left="5040" w:hanging="360"/>
      </w:pPr>
      <w:rPr>
        <w:rFonts w:ascii="Georgia" w:hAnsi="Georgia" w:hint="default"/>
      </w:rPr>
    </w:lvl>
    <w:lvl w:ilvl="7" w:tplc="701C53A0" w:tentative="1">
      <w:start w:val="1"/>
      <w:numFmt w:val="bullet"/>
      <w:lvlText w:val="•"/>
      <w:lvlJc w:val="left"/>
      <w:pPr>
        <w:tabs>
          <w:tab w:val="num" w:pos="5760"/>
        </w:tabs>
        <w:ind w:left="5760" w:hanging="360"/>
      </w:pPr>
      <w:rPr>
        <w:rFonts w:ascii="Georgia" w:hAnsi="Georgia" w:hint="default"/>
      </w:rPr>
    </w:lvl>
    <w:lvl w:ilvl="8" w:tplc="8210239C" w:tentative="1">
      <w:start w:val="1"/>
      <w:numFmt w:val="bullet"/>
      <w:lvlText w:val="•"/>
      <w:lvlJc w:val="left"/>
      <w:pPr>
        <w:tabs>
          <w:tab w:val="num" w:pos="6480"/>
        </w:tabs>
        <w:ind w:left="6480" w:hanging="360"/>
      </w:pPr>
      <w:rPr>
        <w:rFonts w:ascii="Georgia" w:hAnsi="Georgia" w:hint="default"/>
      </w:rPr>
    </w:lvl>
  </w:abstractNum>
  <w:abstractNum w:abstractNumId="36" w15:restartNumberingAfterBreak="0">
    <w:nsid w:val="6AA20654"/>
    <w:multiLevelType w:val="hybridMultilevel"/>
    <w:tmpl w:val="EEE8D748"/>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D16E7C"/>
    <w:multiLevelType w:val="hybridMultilevel"/>
    <w:tmpl w:val="47F8847A"/>
    <w:lvl w:ilvl="0" w:tplc="AB68439A">
      <w:start w:val="1"/>
      <w:numFmt w:val="decimal"/>
      <w:lvlText w:val="%1."/>
      <w:lvlJc w:val="left"/>
      <w:pPr>
        <w:ind w:left="720" w:hanging="360"/>
      </w:pPr>
      <w:rPr>
        <w:rFonts w:ascii="Arial Narrow" w:hAnsi="Arial Narrow"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7345CD"/>
    <w:multiLevelType w:val="hybridMultilevel"/>
    <w:tmpl w:val="05E0AA42"/>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0" w15:restartNumberingAfterBreak="0">
    <w:nsid w:val="6F5A2061"/>
    <w:multiLevelType w:val="hybridMultilevel"/>
    <w:tmpl w:val="3BB05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315F60"/>
    <w:multiLevelType w:val="hybridMultilevel"/>
    <w:tmpl w:val="02282556"/>
    <w:lvl w:ilvl="0" w:tplc="265C181A">
      <w:start w:val="5"/>
      <w:numFmt w:val="decimal"/>
      <w:lvlText w:val="%1."/>
      <w:lvlJc w:val="left"/>
      <w:pPr>
        <w:ind w:left="144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AF034E"/>
    <w:multiLevelType w:val="hybridMultilevel"/>
    <w:tmpl w:val="9A0C30D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8941BA1"/>
    <w:multiLevelType w:val="hybridMultilevel"/>
    <w:tmpl w:val="68FC1C9E"/>
    <w:lvl w:ilvl="0" w:tplc="79BA42CE">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8"/>
  </w:num>
  <w:num w:numId="5">
    <w:abstractNumId w:val="19"/>
  </w:num>
  <w:num w:numId="6">
    <w:abstractNumId w:val="43"/>
  </w:num>
  <w:num w:numId="7">
    <w:abstractNumId w:val="11"/>
  </w:num>
  <w:num w:numId="8">
    <w:abstractNumId w:val="29"/>
  </w:num>
  <w:num w:numId="9">
    <w:abstractNumId w:val="39"/>
  </w:num>
  <w:num w:numId="10">
    <w:abstractNumId w:val="38"/>
  </w:num>
  <w:num w:numId="11">
    <w:abstractNumId w:val="21"/>
  </w:num>
  <w:num w:numId="12">
    <w:abstractNumId w:val="40"/>
  </w:num>
  <w:num w:numId="13">
    <w:abstractNumId w:val="31"/>
  </w:num>
  <w:num w:numId="14">
    <w:abstractNumId w:val="9"/>
  </w:num>
  <w:num w:numId="15">
    <w:abstractNumId w:val="7"/>
  </w:num>
  <w:num w:numId="16">
    <w:abstractNumId w:val="0"/>
  </w:num>
  <w:num w:numId="17">
    <w:abstractNumId w:val="23"/>
  </w:num>
  <w:num w:numId="18">
    <w:abstractNumId w:val="34"/>
  </w:num>
  <w:num w:numId="19">
    <w:abstractNumId w:val="41"/>
  </w:num>
  <w:num w:numId="20">
    <w:abstractNumId w:val="20"/>
  </w:num>
  <w:num w:numId="21">
    <w:abstractNumId w:val="35"/>
  </w:num>
  <w:num w:numId="22">
    <w:abstractNumId w:val="5"/>
  </w:num>
  <w:num w:numId="23">
    <w:abstractNumId w:val="37"/>
  </w:num>
  <w:num w:numId="24">
    <w:abstractNumId w:val="6"/>
  </w:num>
  <w:num w:numId="25">
    <w:abstractNumId w:val="24"/>
  </w:num>
  <w:num w:numId="26">
    <w:abstractNumId w:val="28"/>
  </w:num>
  <w:num w:numId="27">
    <w:abstractNumId w:val="18"/>
  </w:num>
  <w:num w:numId="28">
    <w:abstractNumId w:val="12"/>
  </w:num>
  <w:num w:numId="29">
    <w:abstractNumId w:val="2"/>
  </w:num>
  <w:num w:numId="30">
    <w:abstractNumId w:val="36"/>
  </w:num>
  <w:num w:numId="31">
    <w:abstractNumId w:val="30"/>
  </w:num>
  <w:num w:numId="32">
    <w:abstractNumId w:val="4"/>
  </w:num>
  <w:num w:numId="33">
    <w:abstractNumId w:val="3"/>
  </w:num>
  <w:num w:numId="34">
    <w:abstractNumId w:val="32"/>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4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
  </w:num>
  <w:num w:numId="43">
    <w:abstractNumId w:val="27"/>
  </w:num>
  <w:num w:numId="44">
    <w:abstractNumId w:val="33"/>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CB"/>
    <w:rsid w:val="0000227F"/>
    <w:rsid w:val="000033D3"/>
    <w:rsid w:val="00006D35"/>
    <w:rsid w:val="00020D1B"/>
    <w:rsid w:val="000238DD"/>
    <w:rsid w:val="00026633"/>
    <w:rsid w:val="00030F15"/>
    <w:rsid w:val="00032B5E"/>
    <w:rsid w:val="00047175"/>
    <w:rsid w:val="00057B91"/>
    <w:rsid w:val="00072B20"/>
    <w:rsid w:val="0008093E"/>
    <w:rsid w:val="00094181"/>
    <w:rsid w:val="000956F6"/>
    <w:rsid w:val="000A231C"/>
    <w:rsid w:val="000A5DBD"/>
    <w:rsid w:val="000A7491"/>
    <w:rsid w:val="000B1391"/>
    <w:rsid w:val="000E4B9F"/>
    <w:rsid w:val="000E4EB8"/>
    <w:rsid w:val="000E559E"/>
    <w:rsid w:val="000F3366"/>
    <w:rsid w:val="001004C5"/>
    <w:rsid w:val="00101956"/>
    <w:rsid w:val="00111DD4"/>
    <w:rsid w:val="001207BA"/>
    <w:rsid w:val="00121B31"/>
    <w:rsid w:val="00125570"/>
    <w:rsid w:val="00137464"/>
    <w:rsid w:val="001535FC"/>
    <w:rsid w:val="0015516E"/>
    <w:rsid w:val="0016154E"/>
    <w:rsid w:val="001625B7"/>
    <w:rsid w:val="00162714"/>
    <w:rsid w:val="00171C1A"/>
    <w:rsid w:val="00173DEE"/>
    <w:rsid w:val="00187D1E"/>
    <w:rsid w:val="00191112"/>
    <w:rsid w:val="001B053B"/>
    <w:rsid w:val="001B2F0B"/>
    <w:rsid w:val="001B301B"/>
    <w:rsid w:val="001B3D28"/>
    <w:rsid w:val="001B4EC6"/>
    <w:rsid w:val="001C3089"/>
    <w:rsid w:val="001C6A36"/>
    <w:rsid w:val="001E0C0B"/>
    <w:rsid w:val="001E19D4"/>
    <w:rsid w:val="001E6C42"/>
    <w:rsid w:val="001F28C0"/>
    <w:rsid w:val="001F36DB"/>
    <w:rsid w:val="001F6EA7"/>
    <w:rsid w:val="00212E3B"/>
    <w:rsid w:val="00213CE7"/>
    <w:rsid w:val="0021430F"/>
    <w:rsid w:val="002150B3"/>
    <w:rsid w:val="002226D4"/>
    <w:rsid w:val="002258C1"/>
    <w:rsid w:val="00230B90"/>
    <w:rsid w:val="00240384"/>
    <w:rsid w:val="00247EF6"/>
    <w:rsid w:val="00254A9C"/>
    <w:rsid w:val="00254E99"/>
    <w:rsid w:val="00255A61"/>
    <w:rsid w:val="00255FE3"/>
    <w:rsid w:val="0026249D"/>
    <w:rsid w:val="00262F85"/>
    <w:rsid w:val="00265F7C"/>
    <w:rsid w:val="00296590"/>
    <w:rsid w:val="002A2AF0"/>
    <w:rsid w:val="002A7472"/>
    <w:rsid w:val="002A7B61"/>
    <w:rsid w:val="002C5904"/>
    <w:rsid w:val="002D2CF0"/>
    <w:rsid w:val="002D3509"/>
    <w:rsid w:val="002D3529"/>
    <w:rsid w:val="002D7B35"/>
    <w:rsid w:val="002E202A"/>
    <w:rsid w:val="002E3D8A"/>
    <w:rsid w:val="002F0ECA"/>
    <w:rsid w:val="00313ACA"/>
    <w:rsid w:val="0031545E"/>
    <w:rsid w:val="00334F62"/>
    <w:rsid w:val="003365BD"/>
    <w:rsid w:val="0034135E"/>
    <w:rsid w:val="00342C61"/>
    <w:rsid w:val="0035375E"/>
    <w:rsid w:val="00361F79"/>
    <w:rsid w:val="00377D51"/>
    <w:rsid w:val="00393026"/>
    <w:rsid w:val="003B1C48"/>
    <w:rsid w:val="003C35C0"/>
    <w:rsid w:val="003C4342"/>
    <w:rsid w:val="003D3DC1"/>
    <w:rsid w:val="003E034D"/>
    <w:rsid w:val="003F06E5"/>
    <w:rsid w:val="00416C5B"/>
    <w:rsid w:val="0041708B"/>
    <w:rsid w:val="0043157F"/>
    <w:rsid w:val="004414E7"/>
    <w:rsid w:val="0044323C"/>
    <w:rsid w:val="0047355B"/>
    <w:rsid w:val="00473EDD"/>
    <w:rsid w:val="00480E7E"/>
    <w:rsid w:val="004835E8"/>
    <w:rsid w:val="004841A0"/>
    <w:rsid w:val="004A2AA3"/>
    <w:rsid w:val="004B08BF"/>
    <w:rsid w:val="004B2F29"/>
    <w:rsid w:val="004C6991"/>
    <w:rsid w:val="004D0F5C"/>
    <w:rsid w:val="004D2CB9"/>
    <w:rsid w:val="004E4950"/>
    <w:rsid w:val="004F695E"/>
    <w:rsid w:val="004F75D7"/>
    <w:rsid w:val="00514B36"/>
    <w:rsid w:val="00536971"/>
    <w:rsid w:val="00537E51"/>
    <w:rsid w:val="005428D5"/>
    <w:rsid w:val="00547A0E"/>
    <w:rsid w:val="00552210"/>
    <w:rsid w:val="00572DA1"/>
    <w:rsid w:val="00582CF8"/>
    <w:rsid w:val="005871C7"/>
    <w:rsid w:val="00591479"/>
    <w:rsid w:val="00593CE6"/>
    <w:rsid w:val="00597B23"/>
    <w:rsid w:val="005A0A06"/>
    <w:rsid w:val="005B1859"/>
    <w:rsid w:val="005B68C5"/>
    <w:rsid w:val="005D23C6"/>
    <w:rsid w:val="005D3F30"/>
    <w:rsid w:val="005E202F"/>
    <w:rsid w:val="005E70B8"/>
    <w:rsid w:val="005F76EF"/>
    <w:rsid w:val="00600F6B"/>
    <w:rsid w:val="0060130F"/>
    <w:rsid w:val="00620548"/>
    <w:rsid w:val="006310F9"/>
    <w:rsid w:val="00631233"/>
    <w:rsid w:val="006403BC"/>
    <w:rsid w:val="0064054F"/>
    <w:rsid w:val="006477FA"/>
    <w:rsid w:val="00656027"/>
    <w:rsid w:val="00661CDC"/>
    <w:rsid w:val="0067398D"/>
    <w:rsid w:val="00677249"/>
    <w:rsid w:val="0068421D"/>
    <w:rsid w:val="006A0F9A"/>
    <w:rsid w:val="006A344A"/>
    <w:rsid w:val="006A46DF"/>
    <w:rsid w:val="006A5BEB"/>
    <w:rsid w:val="006B29B5"/>
    <w:rsid w:val="006E3F06"/>
    <w:rsid w:val="006E4263"/>
    <w:rsid w:val="006F3073"/>
    <w:rsid w:val="0070169F"/>
    <w:rsid w:val="00704CA7"/>
    <w:rsid w:val="0071166A"/>
    <w:rsid w:val="00711F1D"/>
    <w:rsid w:val="00714D15"/>
    <w:rsid w:val="00716FCE"/>
    <w:rsid w:val="00724642"/>
    <w:rsid w:val="007347B1"/>
    <w:rsid w:val="00735725"/>
    <w:rsid w:val="0073669B"/>
    <w:rsid w:val="00744056"/>
    <w:rsid w:val="00744ADA"/>
    <w:rsid w:val="00750D28"/>
    <w:rsid w:val="00762022"/>
    <w:rsid w:val="00765B26"/>
    <w:rsid w:val="007708EA"/>
    <w:rsid w:val="00770A61"/>
    <w:rsid w:val="00792AEB"/>
    <w:rsid w:val="007955E3"/>
    <w:rsid w:val="007A0CB7"/>
    <w:rsid w:val="007A305A"/>
    <w:rsid w:val="007A4827"/>
    <w:rsid w:val="007B13AE"/>
    <w:rsid w:val="007B5A7C"/>
    <w:rsid w:val="007B6CCA"/>
    <w:rsid w:val="007C54F5"/>
    <w:rsid w:val="007E0EFD"/>
    <w:rsid w:val="007F5951"/>
    <w:rsid w:val="00821E09"/>
    <w:rsid w:val="0082329E"/>
    <w:rsid w:val="00832895"/>
    <w:rsid w:val="00834FBD"/>
    <w:rsid w:val="00850304"/>
    <w:rsid w:val="008523DC"/>
    <w:rsid w:val="00857707"/>
    <w:rsid w:val="008629D0"/>
    <w:rsid w:val="008722EB"/>
    <w:rsid w:val="0087675E"/>
    <w:rsid w:val="008779AE"/>
    <w:rsid w:val="008B3CCA"/>
    <w:rsid w:val="008C7209"/>
    <w:rsid w:val="008F3949"/>
    <w:rsid w:val="00910C7C"/>
    <w:rsid w:val="0091474D"/>
    <w:rsid w:val="00924143"/>
    <w:rsid w:val="009267AD"/>
    <w:rsid w:val="00934AB2"/>
    <w:rsid w:val="00953287"/>
    <w:rsid w:val="00954B72"/>
    <w:rsid w:val="00963098"/>
    <w:rsid w:val="00963D06"/>
    <w:rsid w:val="00966E3C"/>
    <w:rsid w:val="00973E89"/>
    <w:rsid w:val="009777C7"/>
    <w:rsid w:val="00981DA9"/>
    <w:rsid w:val="00984224"/>
    <w:rsid w:val="009849B3"/>
    <w:rsid w:val="009850AF"/>
    <w:rsid w:val="00995C1E"/>
    <w:rsid w:val="00997776"/>
    <w:rsid w:val="009C014F"/>
    <w:rsid w:val="009C32B1"/>
    <w:rsid w:val="009C731B"/>
    <w:rsid w:val="009D5641"/>
    <w:rsid w:val="009E0823"/>
    <w:rsid w:val="009E7D6E"/>
    <w:rsid w:val="00A03AC8"/>
    <w:rsid w:val="00A04209"/>
    <w:rsid w:val="00A2767A"/>
    <w:rsid w:val="00A2796E"/>
    <w:rsid w:val="00A315B9"/>
    <w:rsid w:val="00A317C9"/>
    <w:rsid w:val="00A400C1"/>
    <w:rsid w:val="00A52346"/>
    <w:rsid w:val="00A538A1"/>
    <w:rsid w:val="00A61D39"/>
    <w:rsid w:val="00A71241"/>
    <w:rsid w:val="00A84F97"/>
    <w:rsid w:val="00A8677A"/>
    <w:rsid w:val="00A86ABF"/>
    <w:rsid w:val="00AA3CF9"/>
    <w:rsid w:val="00AA65BE"/>
    <w:rsid w:val="00AA7765"/>
    <w:rsid w:val="00AC1E68"/>
    <w:rsid w:val="00AD5ACA"/>
    <w:rsid w:val="00AF5ACD"/>
    <w:rsid w:val="00B10B36"/>
    <w:rsid w:val="00B13CB7"/>
    <w:rsid w:val="00B265B3"/>
    <w:rsid w:val="00B273EE"/>
    <w:rsid w:val="00B27685"/>
    <w:rsid w:val="00B725DB"/>
    <w:rsid w:val="00B76400"/>
    <w:rsid w:val="00B8344B"/>
    <w:rsid w:val="00B9287A"/>
    <w:rsid w:val="00B95AA9"/>
    <w:rsid w:val="00BA0EE9"/>
    <w:rsid w:val="00BC6F18"/>
    <w:rsid w:val="00BD3965"/>
    <w:rsid w:val="00BE0357"/>
    <w:rsid w:val="00BE112B"/>
    <w:rsid w:val="00BF1C91"/>
    <w:rsid w:val="00C01EBE"/>
    <w:rsid w:val="00C10E2C"/>
    <w:rsid w:val="00C11675"/>
    <w:rsid w:val="00C13FCF"/>
    <w:rsid w:val="00C203BB"/>
    <w:rsid w:val="00C234F8"/>
    <w:rsid w:val="00C2777D"/>
    <w:rsid w:val="00C32D3B"/>
    <w:rsid w:val="00C506C5"/>
    <w:rsid w:val="00C62FB0"/>
    <w:rsid w:val="00C63DE7"/>
    <w:rsid w:val="00C75767"/>
    <w:rsid w:val="00C77E3C"/>
    <w:rsid w:val="00C86D2E"/>
    <w:rsid w:val="00C929A6"/>
    <w:rsid w:val="00C95B9A"/>
    <w:rsid w:val="00C96DC3"/>
    <w:rsid w:val="00C97AEC"/>
    <w:rsid w:val="00CB204A"/>
    <w:rsid w:val="00CC339B"/>
    <w:rsid w:val="00CC428B"/>
    <w:rsid w:val="00CC7950"/>
    <w:rsid w:val="00CC7E3B"/>
    <w:rsid w:val="00CD2D5D"/>
    <w:rsid w:val="00CD41DC"/>
    <w:rsid w:val="00CD4B24"/>
    <w:rsid w:val="00CD5E87"/>
    <w:rsid w:val="00CE4CEF"/>
    <w:rsid w:val="00CE5C28"/>
    <w:rsid w:val="00CF11C0"/>
    <w:rsid w:val="00CF56CD"/>
    <w:rsid w:val="00D073D5"/>
    <w:rsid w:val="00D11B04"/>
    <w:rsid w:val="00D1730B"/>
    <w:rsid w:val="00D21EAA"/>
    <w:rsid w:val="00D41DD2"/>
    <w:rsid w:val="00D47BB5"/>
    <w:rsid w:val="00D541EB"/>
    <w:rsid w:val="00D54D0B"/>
    <w:rsid w:val="00D5724F"/>
    <w:rsid w:val="00D62FF7"/>
    <w:rsid w:val="00D6402D"/>
    <w:rsid w:val="00D66A79"/>
    <w:rsid w:val="00D7213A"/>
    <w:rsid w:val="00D74F80"/>
    <w:rsid w:val="00D816C4"/>
    <w:rsid w:val="00D82DDA"/>
    <w:rsid w:val="00D86668"/>
    <w:rsid w:val="00D92519"/>
    <w:rsid w:val="00D948B1"/>
    <w:rsid w:val="00DC34B7"/>
    <w:rsid w:val="00DC39FD"/>
    <w:rsid w:val="00DD40AB"/>
    <w:rsid w:val="00DD6109"/>
    <w:rsid w:val="00DD7DED"/>
    <w:rsid w:val="00E16510"/>
    <w:rsid w:val="00E25A09"/>
    <w:rsid w:val="00E36FA1"/>
    <w:rsid w:val="00E4162E"/>
    <w:rsid w:val="00E501C8"/>
    <w:rsid w:val="00E54ACB"/>
    <w:rsid w:val="00E67713"/>
    <w:rsid w:val="00E71270"/>
    <w:rsid w:val="00E717F8"/>
    <w:rsid w:val="00E7729B"/>
    <w:rsid w:val="00E84FB4"/>
    <w:rsid w:val="00E933C1"/>
    <w:rsid w:val="00E974BC"/>
    <w:rsid w:val="00EA3AFC"/>
    <w:rsid w:val="00EA78C6"/>
    <w:rsid w:val="00EB26C0"/>
    <w:rsid w:val="00EB2F61"/>
    <w:rsid w:val="00EB4EE8"/>
    <w:rsid w:val="00EB73AD"/>
    <w:rsid w:val="00EE36F7"/>
    <w:rsid w:val="00EF4B9C"/>
    <w:rsid w:val="00F01880"/>
    <w:rsid w:val="00F039E3"/>
    <w:rsid w:val="00F054DD"/>
    <w:rsid w:val="00F11BE5"/>
    <w:rsid w:val="00F160F3"/>
    <w:rsid w:val="00F17045"/>
    <w:rsid w:val="00F20AD6"/>
    <w:rsid w:val="00F31CA8"/>
    <w:rsid w:val="00F44AE6"/>
    <w:rsid w:val="00F45221"/>
    <w:rsid w:val="00F45A7B"/>
    <w:rsid w:val="00F47B60"/>
    <w:rsid w:val="00F47D84"/>
    <w:rsid w:val="00F510FE"/>
    <w:rsid w:val="00F51157"/>
    <w:rsid w:val="00F523BD"/>
    <w:rsid w:val="00F60C89"/>
    <w:rsid w:val="00F645CA"/>
    <w:rsid w:val="00F6490C"/>
    <w:rsid w:val="00F6675E"/>
    <w:rsid w:val="00F760CD"/>
    <w:rsid w:val="00F76909"/>
    <w:rsid w:val="00F818A2"/>
    <w:rsid w:val="00FA6984"/>
    <w:rsid w:val="00FA69A2"/>
    <w:rsid w:val="00FA7A7F"/>
    <w:rsid w:val="00FB3D96"/>
    <w:rsid w:val="00FC76AC"/>
    <w:rsid w:val="00FD124E"/>
    <w:rsid w:val="00FE311B"/>
    <w:rsid w:val="00FE3EA6"/>
    <w:rsid w:val="00FF3A1B"/>
    <w:rsid w:val="00FF5A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467"/>
  <w15:docId w15:val="{DE6237B7-30AD-4FFF-814B-D62BFE53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ACB"/>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9"/>
    <w:qFormat/>
    <w:rsid w:val="00E54ACB"/>
    <w:pPr>
      <w:outlineLvl w:val="0"/>
    </w:pPr>
  </w:style>
  <w:style w:type="paragraph" w:styleId="Nadpis2">
    <w:name w:val="heading 2"/>
    <w:basedOn w:val="Normlny"/>
    <w:next w:val="Normlny"/>
    <w:link w:val="Nadpis2Char"/>
    <w:uiPriority w:val="99"/>
    <w:qFormat/>
    <w:rsid w:val="00E54ACB"/>
    <w:pPr>
      <w:outlineLvl w:val="1"/>
    </w:pPr>
  </w:style>
  <w:style w:type="paragraph" w:styleId="Nadpis3">
    <w:name w:val="heading 3"/>
    <w:basedOn w:val="Normlny"/>
    <w:next w:val="Normlny"/>
    <w:link w:val="Nadpis3Char"/>
    <w:uiPriority w:val="9"/>
    <w:semiHidden/>
    <w:unhideWhenUsed/>
    <w:qFormat/>
    <w:rsid w:val="002D3529"/>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
    <w:unhideWhenUsed/>
    <w:qFormat/>
    <w:rsid w:val="004414E7"/>
    <w:pPr>
      <w:keepNext/>
      <w:keepLines/>
      <w:widowControl/>
      <w:autoSpaceDE/>
      <w:autoSpaceDN/>
      <w:adjustRightInd/>
      <w:spacing w:before="200" w:line="276" w:lineRule="auto"/>
      <w:outlineLvl w:val="5"/>
    </w:pPr>
    <w:rPr>
      <w:rFonts w:ascii="Trebuchet MS" w:hAnsi="Trebuchet MS" w:cs="Times New Roman"/>
      <w:i/>
      <w:iCs/>
      <w:color w:val="202F69"/>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54ACB"/>
    <w:rPr>
      <w:rFonts w:ascii="Arial" w:eastAsia="Times New Roman" w:hAnsi="Arial" w:cs="Arial"/>
      <w:sz w:val="24"/>
      <w:szCs w:val="24"/>
      <w:lang w:eastAsia="sk-SK"/>
    </w:rPr>
  </w:style>
  <w:style w:type="character" w:customStyle="1" w:styleId="Nadpis2Char">
    <w:name w:val="Nadpis 2 Char"/>
    <w:basedOn w:val="Predvolenpsmoodseku"/>
    <w:link w:val="Nadpis2"/>
    <w:uiPriority w:val="99"/>
    <w:rsid w:val="00E54ACB"/>
    <w:rPr>
      <w:rFonts w:ascii="Arial" w:eastAsia="Times New Roman" w:hAnsi="Arial" w:cs="Arial"/>
      <w:sz w:val="24"/>
      <w:szCs w:val="24"/>
      <w:lang w:eastAsia="sk-SK"/>
    </w:rPr>
  </w:style>
  <w:style w:type="character" w:customStyle="1" w:styleId="Nadpis3Char">
    <w:name w:val="Nadpis 3 Char"/>
    <w:basedOn w:val="Predvolenpsmoodseku"/>
    <w:link w:val="Nadpis3"/>
    <w:uiPriority w:val="9"/>
    <w:semiHidden/>
    <w:rsid w:val="002D3529"/>
    <w:rPr>
      <w:rFonts w:asciiTheme="majorHAnsi" w:eastAsiaTheme="majorEastAsia" w:hAnsiTheme="majorHAnsi" w:cstheme="majorBidi"/>
      <w:b/>
      <w:bCs/>
      <w:color w:val="4F81BD" w:themeColor="accent1"/>
      <w:sz w:val="24"/>
      <w:szCs w:val="24"/>
      <w:lang w:eastAsia="sk-SK"/>
    </w:rPr>
  </w:style>
  <w:style w:type="character" w:customStyle="1" w:styleId="Nadpis6Char">
    <w:name w:val="Nadpis 6 Char"/>
    <w:basedOn w:val="Predvolenpsmoodseku"/>
    <w:link w:val="Nadpis6"/>
    <w:uiPriority w:val="9"/>
    <w:rsid w:val="004414E7"/>
    <w:rPr>
      <w:rFonts w:ascii="Trebuchet MS" w:eastAsia="Times New Roman" w:hAnsi="Trebuchet MS" w:cs="Times New Roman"/>
      <w:i/>
      <w:iCs/>
      <w:color w:val="202F69"/>
    </w:rPr>
  </w:style>
  <w:style w:type="paragraph" w:styleId="Textbubliny">
    <w:name w:val="Balloon Text"/>
    <w:basedOn w:val="Normlny"/>
    <w:link w:val="TextbublinyChar"/>
    <w:uiPriority w:val="99"/>
    <w:semiHidden/>
    <w:unhideWhenUsed/>
    <w:rsid w:val="00E54ACB"/>
    <w:rPr>
      <w:rFonts w:ascii="Tahoma" w:hAnsi="Tahoma" w:cs="Tahoma"/>
      <w:sz w:val="16"/>
      <w:szCs w:val="16"/>
    </w:rPr>
  </w:style>
  <w:style w:type="character" w:customStyle="1" w:styleId="TextbublinyChar">
    <w:name w:val="Text bubliny Char"/>
    <w:basedOn w:val="Predvolenpsmoodseku"/>
    <w:link w:val="Textbubliny"/>
    <w:uiPriority w:val="99"/>
    <w:semiHidden/>
    <w:rsid w:val="00E54ACB"/>
    <w:rPr>
      <w:rFonts w:ascii="Tahoma" w:eastAsia="Times New Roman" w:hAnsi="Tahoma" w:cs="Tahoma"/>
      <w:sz w:val="16"/>
      <w:szCs w:val="16"/>
      <w:lang w:eastAsia="sk-SK"/>
    </w:rPr>
  </w:style>
  <w:style w:type="paragraph" w:styleId="Odsekzoznamu">
    <w:name w:val="List Paragraph"/>
    <w:aliases w:val="body,Odsek zoznamu2,Dot pt,No Spacing1,List Paragraph Char Char Char,Indicator Text,Numbered Para 1,List Paragraph à moi,Odsek zoznamu4,LISTA,Listaszerű bekezdés2,Listaszerű bekezdés3,Listaszerű bekezdés1,F5 List Paragraph,Recommendation,3"/>
    <w:basedOn w:val="Normlny"/>
    <w:link w:val="OdsekzoznamuChar"/>
    <w:uiPriority w:val="34"/>
    <w:qFormat/>
    <w:rsid w:val="007708EA"/>
    <w:pPr>
      <w:widowControl/>
      <w:autoSpaceDE/>
      <w:autoSpaceDN/>
      <w:adjustRightInd/>
      <w:spacing w:after="200" w:line="276" w:lineRule="auto"/>
      <w:ind w:left="720"/>
      <w:contextualSpacing/>
    </w:pPr>
    <w:rPr>
      <w:rFonts w:ascii="Trebuchet MS" w:eastAsia="Trebuchet MS" w:hAnsi="Trebuchet MS" w:cs="Times New Roman"/>
      <w:sz w:val="22"/>
      <w:szCs w:val="22"/>
      <w:lang w:eastAsia="en-US"/>
    </w:rPr>
  </w:style>
  <w:style w:type="character" w:customStyle="1" w:styleId="OdsekzoznamuChar">
    <w:name w:val="Odsek zoznamu Char"/>
    <w:aliases w:val="body Char,Odsek zoznamu2 Char,Dot pt Char,No Spacing1 Char,List Paragraph Char Char Char Char,Indicator Text Char,Numbered Para 1 Char,List Paragraph à moi Char,Odsek zoznamu4 Char,LISTA Char,Listaszerű bekezdés2 Char,3 Char"/>
    <w:basedOn w:val="Predvolenpsmoodseku"/>
    <w:link w:val="Odsekzoznamu"/>
    <w:uiPriority w:val="34"/>
    <w:qFormat/>
    <w:rsid w:val="007708EA"/>
    <w:rPr>
      <w:rFonts w:ascii="Trebuchet MS" w:eastAsia="Trebuchet MS" w:hAnsi="Trebuchet MS" w:cs="Times New Roman"/>
    </w:rPr>
  </w:style>
  <w:style w:type="paragraph" w:styleId="Obsah1">
    <w:name w:val="toc 1"/>
    <w:basedOn w:val="Normlny"/>
    <w:next w:val="Normlny"/>
    <w:autoRedefine/>
    <w:uiPriority w:val="39"/>
    <w:unhideWhenUsed/>
    <w:qFormat/>
    <w:rsid w:val="009E0823"/>
    <w:pPr>
      <w:widowControl/>
      <w:autoSpaceDE/>
      <w:autoSpaceDN/>
      <w:adjustRightInd/>
      <w:spacing w:before="120" w:after="120" w:line="276" w:lineRule="auto"/>
    </w:pPr>
    <w:rPr>
      <w:rFonts w:ascii="Trebuchet MS" w:eastAsia="Trebuchet MS" w:hAnsi="Trebuchet MS" w:cs="Times New Roman"/>
      <w:b/>
      <w:bCs/>
      <w:caps/>
      <w:sz w:val="20"/>
      <w:szCs w:val="20"/>
      <w:lang w:eastAsia="en-US"/>
    </w:rPr>
  </w:style>
  <w:style w:type="character" w:styleId="Hypertextovprepojenie">
    <w:name w:val="Hyperlink"/>
    <w:uiPriority w:val="99"/>
    <w:unhideWhenUsed/>
    <w:rsid w:val="009E0823"/>
    <w:rPr>
      <w:color w:val="56C7AA"/>
      <w:u w:val="single"/>
    </w:rPr>
  </w:style>
  <w:style w:type="paragraph" w:styleId="Obsah2">
    <w:name w:val="toc 2"/>
    <w:basedOn w:val="Normlny"/>
    <w:next w:val="Normlny"/>
    <w:autoRedefine/>
    <w:uiPriority w:val="39"/>
    <w:unhideWhenUsed/>
    <w:qFormat/>
    <w:rsid w:val="009E0823"/>
    <w:pPr>
      <w:widowControl/>
      <w:autoSpaceDE/>
      <w:autoSpaceDN/>
      <w:adjustRightInd/>
      <w:spacing w:line="276" w:lineRule="auto"/>
      <w:ind w:left="220"/>
    </w:pPr>
    <w:rPr>
      <w:rFonts w:ascii="Trebuchet MS" w:eastAsia="Trebuchet MS" w:hAnsi="Trebuchet MS" w:cs="Times New Roman"/>
      <w:smallCaps/>
      <w:sz w:val="20"/>
      <w:szCs w:val="20"/>
      <w:lang w:eastAsia="en-US"/>
    </w:rPr>
  </w:style>
  <w:style w:type="paragraph" w:styleId="Obsah3">
    <w:name w:val="toc 3"/>
    <w:basedOn w:val="Normlny"/>
    <w:next w:val="Normlny"/>
    <w:autoRedefine/>
    <w:uiPriority w:val="39"/>
    <w:unhideWhenUsed/>
    <w:qFormat/>
    <w:rsid w:val="009E0823"/>
    <w:pPr>
      <w:widowControl/>
      <w:autoSpaceDE/>
      <w:autoSpaceDN/>
      <w:adjustRightInd/>
      <w:spacing w:line="276" w:lineRule="auto"/>
      <w:ind w:left="440"/>
    </w:pPr>
    <w:rPr>
      <w:rFonts w:ascii="Trebuchet MS" w:eastAsia="Trebuchet MS" w:hAnsi="Trebuchet MS" w:cs="Times New Roman"/>
      <w:i/>
      <w:iCs/>
      <w:sz w:val="20"/>
      <w:szCs w:val="20"/>
      <w:lang w:eastAsia="en-US"/>
    </w:rPr>
  </w:style>
  <w:style w:type="paragraph" w:styleId="Obsah4">
    <w:name w:val="toc 4"/>
    <w:basedOn w:val="Normlny"/>
    <w:next w:val="Normlny"/>
    <w:autoRedefine/>
    <w:uiPriority w:val="39"/>
    <w:unhideWhenUsed/>
    <w:rsid w:val="009E0823"/>
    <w:pPr>
      <w:widowControl/>
      <w:autoSpaceDE/>
      <w:autoSpaceDN/>
      <w:adjustRightInd/>
      <w:spacing w:line="276" w:lineRule="auto"/>
      <w:ind w:left="660"/>
    </w:pPr>
    <w:rPr>
      <w:rFonts w:ascii="Trebuchet MS" w:eastAsia="Trebuchet MS" w:hAnsi="Trebuchet MS" w:cs="Times New Roman"/>
      <w:sz w:val="18"/>
      <w:szCs w:val="18"/>
      <w:lang w:eastAsia="en-US"/>
    </w:rPr>
  </w:style>
  <w:style w:type="paragraph" w:styleId="Obsah5">
    <w:name w:val="toc 5"/>
    <w:basedOn w:val="Normlny"/>
    <w:next w:val="Normlny"/>
    <w:autoRedefine/>
    <w:uiPriority w:val="39"/>
    <w:unhideWhenUsed/>
    <w:rsid w:val="009E0823"/>
    <w:pPr>
      <w:widowControl/>
      <w:autoSpaceDE/>
      <w:autoSpaceDN/>
      <w:adjustRightInd/>
      <w:spacing w:line="276" w:lineRule="auto"/>
      <w:ind w:left="880"/>
    </w:pPr>
    <w:rPr>
      <w:rFonts w:ascii="Trebuchet MS" w:eastAsia="Trebuchet MS" w:hAnsi="Trebuchet MS" w:cs="Times New Roman"/>
      <w:sz w:val="18"/>
      <w:szCs w:val="18"/>
      <w:lang w:eastAsia="en-US"/>
    </w:rPr>
  </w:style>
  <w:style w:type="paragraph" w:styleId="Obsah6">
    <w:name w:val="toc 6"/>
    <w:basedOn w:val="Normlny"/>
    <w:next w:val="Normlny"/>
    <w:autoRedefine/>
    <w:uiPriority w:val="39"/>
    <w:unhideWhenUsed/>
    <w:rsid w:val="009E0823"/>
    <w:pPr>
      <w:widowControl/>
      <w:autoSpaceDE/>
      <w:autoSpaceDN/>
      <w:adjustRightInd/>
      <w:spacing w:line="276" w:lineRule="auto"/>
      <w:ind w:left="1100"/>
    </w:pPr>
    <w:rPr>
      <w:rFonts w:ascii="Trebuchet MS" w:eastAsia="Trebuchet MS" w:hAnsi="Trebuchet MS" w:cs="Times New Roman"/>
      <w:sz w:val="18"/>
      <w:szCs w:val="18"/>
      <w:lang w:eastAsia="en-US"/>
    </w:rPr>
  </w:style>
  <w:style w:type="paragraph" w:styleId="Hlavika">
    <w:name w:val="header"/>
    <w:basedOn w:val="Normlny"/>
    <w:link w:val="HlavikaChar"/>
    <w:uiPriority w:val="99"/>
    <w:rsid w:val="00B27685"/>
    <w:pPr>
      <w:widowControl/>
      <w:tabs>
        <w:tab w:val="center" w:pos="4703"/>
        <w:tab w:val="right" w:pos="9406"/>
      </w:tabs>
      <w:autoSpaceDE/>
      <w:autoSpaceDN/>
      <w:adjustRightInd/>
    </w:pPr>
    <w:rPr>
      <w:rFonts w:cs="Times New Roman"/>
      <w:sz w:val="16"/>
      <w:lang w:eastAsia="en-US"/>
    </w:rPr>
  </w:style>
  <w:style w:type="character" w:customStyle="1" w:styleId="HlavikaChar">
    <w:name w:val="Hlavička Char"/>
    <w:basedOn w:val="Predvolenpsmoodseku"/>
    <w:link w:val="Hlavika"/>
    <w:uiPriority w:val="99"/>
    <w:rsid w:val="00B27685"/>
    <w:rPr>
      <w:rFonts w:ascii="Arial" w:eastAsia="Times New Roman" w:hAnsi="Arial" w:cs="Times New Roman"/>
      <w:sz w:val="16"/>
      <w:szCs w:val="24"/>
    </w:rPr>
  </w:style>
  <w:style w:type="table" w:customStyle="1" w:styleId="Svetlmriekazvraznenie111">
    <w:name w:val="Svetlá mriežka – zvýraznenie 111"/>
    <w:basedOn w:val="Normlnatabuka"/>
    <w:uiPriority w:val="62"/>
    <w:rsid w:val="00C63DE7"/>
    <w:pPr>
      <w:spacing w:after="0" w:line="240" w:lineRule="auto"/>
    </w:pPr>
    <w:rPr>
      <w:rFonts w:ascii="Trebuchet MS" w:eastAsia="Trebuchet MS" w:hAnsi="Trebuchet MS" w:cs="Times New Roman"/>
      <w:sz w:val="20"/>
      <w:szCs w:val="20"/>
      <w:lang w:eastAsia="sk-SK"/>
    </w:rPr>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Zvraznenie">
    <w:name w:val="Emphasis"/>
    <w:uiPriority w:val="20"/>
    <w:qFormat/>
    <w:rsid w:val="006310F9"/>
    <w:rPr>
      <w:i/>
      <w:iCs/>
    </w:rPr>
  </w:style>
  <w:style w:type="paragraph" w:styleId="Textpoznmkypodiarou">
    <w:name w:val="footnote text"/>
    <w:aliases w:val="Fußnotentextf,Fußnotentextr,stile 1,Footnote,Footnote1,Footnote2,Footnote3,Footnote4,Footnote5,Footnote6,Footnote7,Footnote8,Footnote9,Footnote10,Footnote11,Footnote21,Footnote31,Footnote41,Footnote51,Footnote61,Footnote71,f,o"/>
    <w:basedOn w:val="Normlny"/>
    <w:link w:val="TextpoznmkypodiarouChar"/>
    <w:uiPriority w:val="99"/>
    <w:unhideWhenUsed/>
    <w:qFormat/>
    <w:rsid w:val="00EB4EE8"/>
    <w:rPr>
      <w:sz w:val="20"/>
      <w:szCs w:val="20"/>
    </w:rPr>
  </w:style>
  <w:style w:type="character" w:customStyle="1" w:styleId="TextpoznmkypodiarouChar">
    <w:name w:val="Text poznámky pod čiarou Char"/>
    <w:aliases w:val="Fußnotentextf Char,Fußnotentextr Char,stile 1 Char,Footnote Char,Footnote1 Char,Footnote2 Char,Footnote3 Char,Footnote4 Char,Footnote5 Char,Footnote6 Char,Footnote7 Char,Footnote8 Char,Footnote9 Char,Footnote10 Char,f Char"/>
    <w:basedOn w:val="Predvolenpsmoodseku"/>
    <w:link w:val="Textpoznmkypodiarou"/>
    <w:uiPriority w:val="99"/>
    <w:rsid w:val="00EB4EE8"/>
    <w:rPr>
      <w:rFonts w:ascii="Arial" w:eastAsia="Times New Roman" w:hAnsi="Arial" w:cs="Arial"/>
      <w:sz w:val="20"/>
      <w:szCs w:val="20"/>
      <w:lang w:eastAsia="sk-SK"/>
    </w:rPr>
  </w:style>
  <w:style w:type="character" w:styleId="Odkaznapoznmkupodiarou">
    <w:name w:val="footnote reference"/>
    <w:aliases w:val="FRef ISO,Footnotes refss,Überschrift 4 Zchn1,Título 4 Car Zchn,Heading 4 Char1 Car Zchn,no vale 2 Zchn,no vale 2 Car Zchn,ftref,Footnote symbol,-E Fußnotenzeichen,ESPON Footnote No,Footnote call,Odwołanie przypisu"/>
    <w:basedOn w:val="Predvolenpsmoodseku"/>
    <w:uiPriority w:val="99"/>
    <w:unhideWhenUsed/>
    <w:rsid w:val="00EB4EE8"/>
    <w:rPr>
      <w:vertAlign w:val="superscript"/>
    </w:rPr>
  </w:style>
  <w:style w:type="paragraph" w:customStyle="1" w:styleId="CM1">
    <w:name w:val="CM1"/>
    <w:basedOn w:val="Normlny"/>
    <w:next w:val="Normlny"/>
    <w:uiPriority w:val="99"/>
    <w:rsid w:val="00C203BB"/>
    <w:pPr>
      <w:widowControl/>
    </w:pPr>
    <w:rPr>
      <w:rFonts w:ascii="EUAlbertina" w:eastAsiaTheme="minorHAnsi" w:hAnsi="EUAlbertina" w:cstheme="minorBidi"/>
      <w:lang w:eastAsia="en-US"/>
    </w:rPr>
  </w:style>
  <w:style w:type="paragraph" w:customStyle="1" w:styleId="Default">
    <w:name w:val="Default"/>
    <w:uiPriority w:val="99"/>
    <w:rsid w:val="004A2AA3"/>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aliases w:val="Deloitte table 3"/>
    <w:basedOn w:val="Normlnatabuka"/>
    <w:uiPriority w:val="59"/>
    <w:rsid w:val="004A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73DEE"/>
    <w:rPr>
      <w:sz w:val="16"/>
      <w:szCs w:val="16"/>
    </w:rPr>
  </w:style>
  <w:style w:type="paragraph" w:styleId="Textkomentra">
    <w:name w:val="annotation text"/>
    <w:basedOn w:val="Normlny"/>
    <w:link w:val="TextkomentraChar"/>
    <w:uiPriority w:val="99"/>
    <w:unhideWhenUsed/>
    <w:rsid w:val="00173DEE"/>
    <w:rPr>
      <w:sz w:val="20"/>
      <w:szCs w:val="20"/>
    </w:rPr>
  </w:style>
  <w:style w:type="character" w:customStyle="1" w:styleId="TextkomentraChar">
    <w:name w:val="Text komentára Char"/>
    <w:basedOn w:val="Predvolenpsmoodseku"/>
    <w:link w:val="Textkomentra"/>
    <w:uiPriority w:val="99"/>
    <w:rsid w:val="00173DEE"/>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173DEE"/>
    <w:rPr>
      <w:b/>
      <w:bCs/>
    </w:rPr>
  </w:style>
  <w:style w:type="character" w:customStyle="1" w:styleId="PredmetkomentraChar">
    <w:name w:val="Predmet komentára Char"/>
    <w:basedOn w:val="TextkomentraChar"/>
    <w:link w:val="Predmetkomentra"/>
    <w:uiPriority w:val="99"/>
    <w:semiHidden/>
    <w:rsid w:val="00173DEE"/>
    <w:rPr>
      <w:rFonts w:ascii="Arial" w:eastAsia="Times New Roman" w:hAnsi="Arial" w:cs="Arial"/>
      <w:b/>
      <w:bCs/>
      <w:sz w:val="20"/>
      <w:szCs w:val="20"/>
      <w:lang w:eastAsia="sk-SK"/>
    </w:rPr>
  </w:style>
  <w:style w:type="paragraph" w:styleId="Pta">
    <w:name w:val="footer"/>
    <w:basedOn w:val="Normlny"/>
    <w:link w:val="PtaChar"/>
    <w:uiPriority w:val="99"/>
    <w:unhideWhenUsed/>
    <w:rsid w:val="00984224"/>
    <w:pPr>
      <w:tabs>
        <w:tab w:val="center" w:pos="4536"/>
        <w:tab w:val="right" w:pos="9072"/>
      </w:tabs>
    </w:pPr>
  </w:style>
  <w:style w:type="character" w:customStyle="1" w:styleId="PtaChar">
    <w:name w:val="Päta Char"/>
    <w:basedOn w:val="Predvolenpsmoodseku"/>
    <w:link w:val="Pta"/>
    <w:uiPriority w:val="99"/>
    <w:rsid w:val="00984224"/>
    <w:rPr>
      <w:rFonts w:ascii="Arial" w:eastAsia="Times New Roman" w:hAnsi="Arial" w:cs="Arial"/>
      <w:sz w:val="24"/>
      <w:szCs w:val="24"/>
      <w:lang w:eastAsia="sk-SK"/>
    </w:rPr>
  </w:style>
  <w:style w:type="character" w:styleId="Siln">
    <w:name w:val="Strong"/>
    <w:uiPriority w:val="22"/>
    <w:qFormat/>
    <w:rsid w:val="00F31CA8"/>
    <w:rPr>
      <w:b/>
      <w:bCs/>
    </w:rPr>
  </w:style>
  <w:style w:type="paragraph" w:customStyle="1" w:styleId="C">
    <w:name w:val="C"/>
    <w:qFormat/>
    <w:rsid w:val="004414E7"/>
    <w:pPr>
      <w:spacing w:afterLines="100" w:after="100" w:line="300" w:lineRule="exact"/>
    </w:pPr>
    <w:rPr>
      <w:rFonts w:ascii="Arial" w:hAnsi="Arial"/>
      <w:sz w:val="20"/>
    </w:rPr>
  </w:style>
  <w:style w:type="paragraph" w:styleId="Nzov">
    <w:name w:val="Title"/>
    <w:basedOn w:val="Normlny"/>
    <w:link w:val="NzovChar"/>
    <w:uiPriority w:val="10"/>
    <w:qFormat/>
    <w:rsid w:val="004414E7"/>
    <w:pPr>
      <w:widowControl/>
      <w:autoSpaceDE/>
      <w:autoSpaceDN/>
      <w:adjustRightInd/>
      <w:jc w:val="center"/>
    </w:pPr>
    <w:rPr>
      <w:rFonts w:ascii="Times New Roman" w:hAnsi="Times New Roman" w:cs="Times New Roman"/>
      <w:b/>
      <w:bCs/>
    </w:rPr>
  </w:style>
  <w:style w:type="character" w:customStyle="1" w:styleId="NzovChar">
    <w:name w:val="Názov Char"/>
    <w:basedOn w:val="Predvolenpsmoodseku"/>
    <w:link w:val="Nzov"/>
    <w:uiPriority w:val="10"/>
    <w:rsid w:val="004414E7"/>
    <w:rPr>
      <w:rFonts w:ascii="Times New Roman" w:eastAsia="Times New Roman" w:hAnsi="Times New Roman" w:cs="Times New Roman"/>
      <w:b/>
      <w:bCs/>
      <w:sz w:val="24"/>
      <w:szCs w:val="24"/>
      <w:lang w:eastAsia="sk-SK"/>
    </w:rPr>
  </w:style>
  <w:style w:type="paragraph" w:customStyle="1" w:styleId="CM3">
    <w:name w:val="CM3"/>
    <w:basedOn w:val="Default"/>
    <w:next w:val="Default"/>
    <w:uiPriority w:val="99"/>
    <w:rsid w:val="004414E7"/>
    <w:rPr>
      <w:rFonts w:ascii="EUAlbertina" w:hAnsi="EUAlbertina" w:cstheme="minorBidi"/>
      <w:color w:val="auto"/>
    </w:rPr>
  </w:style>
  <w:style w:type="character" w:customStyle="1" w:styleId="TextvysvetlivkyChar">
    <w:name w:val="Text vysvetlivky Char"/>
    <w:basedOn w:val="Predvolenpsmoodseku"/>
    <w:link w:val="Textvysvetlivky"/>
    <w:uiPriority w:val="99"/>
    <w:semiHidden/>
    <w:rsid w:val="004414E7"/>
    <w:rPr>
      <w:rFonts w:ascii="Trebuchet MS" w:eastAsia="Trebuchet MS" w:hAnsi="Trebuchet MS" w:cs="Times New Roman"/>
      <w:sz w:val="20"/>
      <w:szCs w:val="20"/>
    </w:rPr>
  </w:style>
  <w:style w:type="paragraph" w:styleId="Textvysvetlivky">
    <w:name w:val="endnote text"/>
    <w:basedOn w:val="Normlny"/>
    <w:link w:val="TextvysvetlivkyChar"/>
    <w:uiPriority w:val="99"/>
    <w:semiHidden/>
    <w:unhideWhenUsed/>
    <w:rsid w:val="004414E7"/>
    <w:pPr>
      <w:widowControl/>
      <w:autoSpaceDE/>
      <w:autoSpaceDN/>
      <w:adjustRightInd/>
    </w:pPr>
    <w:rPr>
      <w:rFonts w:ascii="Trebuchet MS" w:eastAsia="Trebuchet MS" w:hAnsi="Trebuchet MS" w:cs="Times New Roman"/>
      <w:sz w:val="20"/>
      <w:szCs w:val="20"/>
      <w:lang w:eastAsia="en-US"/>
    </w:rPr>
  </w:style>
  <w:style w:type="table" w:styleId="Tabukasmriekou1svetl">
    <w:name w:val="Grid Table 1 Light"/>
    <w:basedOn w:val="Normlnatabuka"/>
    <w:uiPriority w:val="46"/>
    <w:rsid w:val="004414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ywebov">
    <w:name w:val="Normal (Web)"/>
    <w:basedOn w:val="Normlny"/>
    <w:uiPriority w:val="99"/>
    <w:unhideWhenUsed/>
    <w:rsid w:val="00187D1E"/>
    <w:pPr>
      <w:widowControl/>
      <w:autoSpaceDE/>
      <w:autoSpaceDN/>
      <w:adjustRightInd/>
      <w:spacing w:before="100" w:beforeAutospacing="1" w:after="100" w:afterAutospacing="1"/>
    </w:pPr>
    <w:rPr>
      <w:rFonts w:ascii="Times New Roman" w:hAnsi="Times New Roman" w:cs="Times New Roman"/>
    </w:rPr>
  </w:style>
  <w:style w:type="character" w:styleId="Odkaznavysvetlivku">
    <w:name w:val="endnote reference"/>
    <w:basedOn w:val="Predvolenpsmoodseku"/>
    <w:uiPriority w:val="99"/>
    <w:semiHidden/>
    <w:unhideWhenUsed/>
    <w:rsid w:val="00187D1E"/>
    <w:rPr>
      <w:vertAlign w:val="superscript"/>
    </w:rPr>
  </w:style>
  <w:style w:type="paragraph" w:styleId="Revzia">
    <w:name w:val="Revision"/>
    <w:hidden/>
    <w:uiPriority w:val="99"/>
    <w:semiHidden/>
    <w:rsid w:val="00187D1E"/>
    <w:pPr>
      <w:spacing w:after="0" w:line="240" w:lineRule="auto"/>
    </w:pPr>
  </w:style>
  <w:style w:type="paragraph" w:styleId="Zkladntext">
    <w:name w:val="Body Text"/>
    <w:basedOn w:val="Normlny"/>
    <w:link w:val="ZkladntextChar"/>
    <w:uiPriority w:val="1"/>
    <w:qFormat/>
    <w:rsid w:val="00591479"/>
    <w:pPr>
      <w:adjustRightInd/>
    </w:pPr>
    <w:rPr>
      <w:rFonts w:eastAsia="Arial"/>
      <w:sz w:val="22"/>
      <w:szCs w:val="22"/>
      <w:lang w:bidi="sk-SK"/>
    </w:rPr>
  </w:style>
  <w:style w:type="character" w:customStyle="1" w:styleId="ZkladntextChar">
    <w:name w:val="Základný text Char"/>
    <w:basedOn w:val="Predvolenpsmoodseku"/>
    <w:link w:val="Zkladntext"/>
    <w:uiPriority w:val="1"/>
    <w:rsid w:val="00591479"/>
    <w:rPr>
      <w:rFonts w:ascii="Arial" w:eastAsia="Arial" w:hAnsi="Arial" w:cs="Arial"/>
      <w:lang w:eastAsia="sk-SK" w:bidi="sk-SK"/>
    </w:rPr>
  </w:style>
  <w:style w:type="table" w:customStyle="1" w:styleId="Tabukasmriekou1svetl1">
    <w:name w:val="Tabuľka s mriežkou 1 – svetlá1"/>
    <w:basedOn w:val="Normlnatabuka"/>
    <w:uiPriority w:val="46"/>
    <w:rsid w:val="00377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515">
      <w:bodyDiv w:val="1"/>
      <w:marLeft w:val="0"/>
      <w:marRight w:val="0"/>
      <w:marTop w:val="0"/>
      <w:marBottom w:val="0"/>
      <w:divBdr>
        <w:top w:val="none" w:sz="0" w:space="0" w:color="auto"/>
        <w:left w:val="none" w:sz="0" w:space="0" w:color="auto"/>
        <w:bottom w:val="none" w:sz="0" w:space="0" w:color="auto"/>
        <w:right w:val="none" w:sz="0" w:space="0" w:color="auto"/>
      </w:divBdr>
    </w:div>
    <w:div w:id="458230967">
      <w:bodyDiv w:val="1"/>
      <w:marLeft w:val="0"/>
      <w:marRight w:val="0"/>
      <w:marTop w:val="0"/>
      <w:marBottom w:val="0"/>
      <w:divBdr>
        <w:top w:val="none" w:sz="0" w:space="0" w:color="auto"/>
        <w:left w:val="none" w:sz="0" w:space="0" w:color="auto"/>
        <w:bottom w:val="none" w:sz="0" w:space="0" w:color="auto"/>
        <w:right w:val="none" w:sz="0" w:space="0" w:color="auto"/>
      </w:divBdr>
    </w:div>
    <w:div w:id="517932583">
      <w:bodyDiv w:val="1"/>
      <w:marLeft w:val="0"/>
      <w:marRight w:val="0"/>
      <w:marTop w:val="0"/>
      <w:marBottom w:val="0"/>
      <w:divBdr>
        <w:top w:val="none" w:sz="0" w:space="0" w:color="auto"/>
        <w:left w:val="none" w:sz="0" w:space="0" w:color="auto"/>
        <w:bottom w:val="none" w:sz="0" w:space="0" w:color="auto"/>
        <w:right w:val="none" w:sz="0" w:space="0" w:color="auto"/>
      </w:divBdr>
    </w:div>
    <w:div w:id="619606852">
      <w:bodyDiv w:val="1"/>
      <w:marLeft w:val="0"/>
      <w:marRight w:val="0"/>
      <w:marTop w:val="0"/>
      <w:marBottom w:val="0"/>
      <w:divBdr>
        <w:top w:val="none" w:sz="0" w:space="0" w:color="auto"/>
        <w:left w:val="none" w:sz="0" w:space="0" w:color="auto"/>
        <w:bottom w:val="none" w:sz="0" w:space="0" w:color="auto"/>
        <w:right w:val="none" w:sz="0" w:space="0" w:color="auto"/>
      </w:divBdr>
    </w:div>
    <w:div w:id="1509951317">
      <w:bodyDiv w:val="1"/>
      <w:marLeft w:val="0"/>
      <w:marRight w:val="0"/>
      <w:marTop w:val="0"/>
      <w:marBottom w:val="0"/>
      <w:divBdr>
        <w:top w:val="none" w:sz="0" w:space="0" w:color="auto"/>
        <w:left w:val="none" w:sz="0" w:space="0" w:color="auto"/>
        <w:bottom w:val="none" w:sz="0" w:space="0" w:color="auto"/>
        <w:right w:val="none" w:sz="0" w:space="0" w:color="auto"/>
      </w:divBdr>
    </w:div>
    <w:div w:id="1845853658">
      <w:bodyDiv w:val="1"/>
      <w:marLeft w:val="0"/>
      <w:marRight w:val="0"/>
      <w:marTop w:val="0"/>
      <w:marBottom w:val="0"/>
      <w:divBdr>
        <w:top w:val="none" w:sz="0" w:space="0" w:color="auto"/>
        <w:left w:val="none" w:sz="0" w:space="0" w:color="auto"/>
        <w:bottom w:val="none" w:sz="0" w:space="0" w:color="auto"/>
        <w:right w:val="none" w:sz="0" w:space="0" w:color="auto"/>
      </w:divBdr>
    </w:div>
    <w:div w:id="19682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chrenkova.kusnirova@mirri.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bert.nemeth@mirr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ert.nemeth@mirri.gov.sk" TargetMode="External"/><Relationship Id="rId5" Type="http://schemas.openxmlformats.org/officeDocument/2006/relationships/webSettings" Target="webSettings.xml"/><Relationship Id="rId15" Type="http://schemas.openxmlformats.org/officeDocument/2006/relationships/hyperlink" Target="mailto:andrej.kosmovsky@mirri.gov.s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ena.chrenkova.kusnirova@mirri.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7773-F7A8-4AE4-89D1-26EA90CD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12433</Words>
  <Characters>70870</Characters>
  <Application>Microsoft Office Word</Application>
  <DocSecurity>0</DocSecurity>
  <Lines>590</Lines>
  <Paragraphs>166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Chrenková Kušnírová, Elena</cp:lastModifiedBy>
  <cp:revision>12</cp:revision>
  <cp:lastPrinted>2018-06-04T11:13:00Z</cp:lastPrinted>
  <dcterms:created xsi:type="dcterms:W3CDTF">2022-02-15T09:22:00Z</dcterms:created>
  <dcterms:modified xsi:type="dcterms:W3CDTF">2022-06-21T06:40:00Z</dcterms:modified>
</cp:coreProperties>
</file>