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7FA" w:rsidRPr="00902555" w:rsidRDefault="008727FA" w:rsidP="008727FA">
      <w:pPr>
        <w:jc w:val="both"/>
        <w:rPr>
          <w:b/>
          <w:sz w:val="20"/>
          <w:szCs w:val="20"/>
          <w:lang w:val="sk-SK"/>
        </w:rPr>
      </w:pPr>
      <w:r w:rsidRPr="00902555">
        <w:rPr>
          <w:b/>
          <w:sz w:val="20"/>
          <w:szCs w:val="20"/>
          <w:lang w:val="sk-SK"/>
        </w:rPr>
        <w:t xml:space="preserve">Príloha č. 8b k </w:t>
      </w:r>
      <w:r>
        <w:rPr>
          <w:b/>
          <w:sz w:val="20"/>
          <w:szCs w:val="20"/>
          <w:lang w:val="sk-SK"/>
        </w:rPr>
        <w:t>Rámcovej dohode na zabezpečenie licenčnej podpory licencií SAP, produktov SAP a služieb s nimi súvisiacich č. 2880/2022</w:t>
      </w:r>
    </w:p>
    <w:p w:rsidR="008727FA" w:rsidRPr="00902555" w:rsidRDefault="008727FA" w:rsidP="008727FA">
      <w:pPr>
        <w:jc w:val="center"/>
        <w:rPr>
          <w:b/>
          <w:sz w:val="20"/>
          <w:szCs w:val="20"/>
          <w:lang w:val="sk-SK"/>
        </w:rPr>
      </w:pPr>
    </w:p>
    <w:p w:rsidR="008727FA" w:rsidRPr="00902555" w:rsidRDefault="008727FA" w:rsidP="008727FA">
      <w:pPr>
        <w:jc w:val="center"/>
        <w:rPr>
          <w:b/>
          <w:sz w:val="20"/>
          <w:szCs w:val="20"/>
          <w:lang w:val="sk-SK"/>
        </w:rPr>
      </w:pPr>
      <w:r w:rsidRPr="00902555">
        <w:rPr>
          <w:b/>
          <w:sz w:val="20"/>
          <w:szCs w:val="20"/>
          <w:lang w:val="sk-SK"/>
        </w:rPr>
        <w:t>„Vzor Objednávky na softvér“</w:t>
      </w:r>
    </w:p>
    <w:p w:rsidR="008727FA" w:rsidRPr="00902555" w:rsidRDefault="008727FA" w:rsidP="008727FA">
      <w:pPr>
        <w:jc w:val="center"/>
        <w:rPr>
          <w:sz w:val="20"/>
          <w:szCs w:val="20"/>
          <w:lang w:val="sk-SK"/>
        </w:rPr>
      </w:pPr>
    </w:p>
    <w:tbl>
      <w:tblPr>
        <w:tblStyle w:val="Mriekatabuky8"/>
        <w:tblW w:w="9493" w:type="dxa"/>
        <w:tblInd w:w="-284" w:type="dxa"/>
        <w:tblLook w:val="04A0" w:firstRow="1" w:lastRow="0" w:firstColumn="1" w:lastColumn="0" w:noHBand="0" w:noVBand="1"/>
      </w:tblPr>
      <w:tblGrid>
        <w:gridCol w:w="9493"/>
      </w:tblGrid>
      <w:tr w:rsidR="008727FA" w:rsidRPr="00902555" w:rsidTr="006269C7">
        <w:tc>
          <w:tcPr>
            <w:tcW w:w="9493" w:type="dxa"/>
            <w:tcBorders>
              <w:top w:val="single" w:sz="4" w:space="0" w:color="auto"/>
              <w:left w:val="single" w:sz="4" w:space="0" w:color="auto"/>
              <w:bottom w:val="single" w:sz="4" w:space="0" w:color="auto"/>
              <w:right w:val="single" w:sz="4" w:space="0" w:color="auto"/>
            </w:tcBorders>
            <w:hideMark/>
          </w:tcPr>
          <w:p w:rsidR="008727FA" w:rsidRPr="00902555" w:rsidRDefault="008727FA" w:rsidP="006269C7">
            <w:pPr>
              <w:widowControl/>
              <w:autoSpaceDE/>
              <w:autoSpaceDN/>
              <w:jc w:val="center"/>
              <w:rPr>
                <w:rFonts w:eastAsia="Times New Roman"/>
                <w:b/>
                <w:szCs w:val="24"/>
                <w:lang w:val="sk-SK"/>
              </w:rPr>
            </w:pPr>
            <w:r w:rsidRPr="00902555">
              <w:rPr>
                <w:rFonts w:eastAsia="Times New Roman"/>
                <w:b/>
                <w:szCs w:val="24"/>
                <w:lang w:val="sk-SK"/>
              </w:rPr>
              <w:t>Objednávka na softvér</w:t>
            </w:r>
          </w:p>
          <w:p w:rsidR="008727FA" w:rsidRPr="00902555" w:rsidRDefault="008727FA" w:rsidP="006269C7">
            <w:pPr>
              <w:widowControl/>
              <w:autoSpaceDE/>
              <w:autoSpaceDN/>
              <w:jc w:val="center"/>
              <w:rPr>
                <w:rFonts w:eastAsia="Times New Roman"/>
                <w:bCs/>
                <w:sz w:val="18"/>
                <w:szCs w:val="20"/>
                <w:lang w:val="sk-SK"/>
              </w:rPr>
            </w:pPr>
            <w:r w:rsidRPr="00902555">
              <w:rPr>
                <w:rFonts w:eastAsia="Times New Roman"/>
                <w:bCs/>
                <w:sz w:val="18"/>
                <w:szCs w:val="20"/>
                <w:lang w:val="sk-SK"/>
              </w:rPr>
              <w:t xml:space="preserve">na základe </w:t>
            </w:r>
          </w:p>
          <w:p w:rsidR="008727FA" w:rsidRPr="00902555" w:rsidRDefault="008727FA" w:rsidP="006269C7">
            <w:pPr>
              <w:widowControl/>
              <w:autoSpaceDE/>
              <w:autoSpaceDN/>
              <w:jc w:val="center"/>
              <w:rPr>
                <w:rFonts w:eastAsia="Times New Roman"/>
                <w:bCs/>
                <w:sz w:val="18"/>
                <w:szCs w:val="20"/>
                <w:lang w:val="sk-SK"/>
              </w:rPr>
            </w:pPr>
            <w:r w:rsidRPr="00902555">
              <w:rPr>
                <w:rFonts w:eastAsia="Times New Roman"/>
                <w:bCs/>
                <w:sz w:val="18"/>
                <w:szCs w:val="20"/>
                <w:lang w:val="sk-SK"/>
              </w:rPr>
              <w:t xml:space="preserve">Rámcovej dohody na zabezpečenie licenčnej podpory licencií SAP, produktov SAP a služieb s nimi súvisiacich č. </w:t>
            </w:r>
            <w:r>
              <w:rPr>
                <w:rFonts w:eastAsia="Times New Roman"/>
                <w:bCs/>
                <w:sz w:val="18"/>
                <w:szCs w:val="20"/>
                <w:lang w:val="sk-SK"/>
              </w:rPr>
              <w:t>2880</w:t>
            </w:r>
            <w:r w:rsidRPr="00902555">
              <w:rPr>
                <w:rFonts w:eastAsia="Times New Roman"/>
                <w:bCs/>
                <w:sz w:val="18"/>
                <w:szCs w:val="20"/>
                <w:lang w:val="sk-SK"/>
              </w:rPr>
              <w:t xml:space="preserve">/2022 (ďalej len </w:t>
            </w:r>
            <w:r w:rsidRPr="00902555">
              <w:rPr>
                <w:rFonts w:eastAsia="Times New Roman"/>
                <w:b/>
                <w:sz w:val="18"/>
                <w:szCs w:val="20"/>
                <w:lang w:val="sk-SK"/>
              </w:rPr>
              <w:t>„Rámcová dohoda“</w:t>
            </w:r>
            <w:r w:rsidRPr="00902555">
              <w:rPr>
                <w:rFonts w:eastAsia="Times New Roman"/>
                <w:bCs/>
                <w:sz w:val="18"/>
                <w:szCs w:val="20"/>
                <w:lang w:val="sk-SK"/>
              </w:rPr>
              <w:t xml:space="preserve">) a </w:t>
            </w:r>
          </w:p>
          <w:p w:rsidR="008727FA" w:rsidRPr="00902555" w:rsidRDefault="008727FA" w:rsidP="006269C7">
            <w:pPr>
              <w:widowControl/>
              <w:autoSpaceDE/>
              <w:autoSpaceDN/>
              <w:jc w:val="center"/>
              <w:rPr>
                <w:rFonts w:eastAsia="Times New Roman"/>
                <w:bCs/>
                <w:sz w:val="18"/>
                <w:szCs w:val="20"/>
                <w:lang w:val="sk-SK"/>
              </w:rPr>
            </w:pPr>
            <w:r w:rsidRPr="00902555">
              <w:rPr>
                <w:rFonts w:eastAsia="Times New Roman"/>
                <w:bCs/>
                <w:sz w:val="18"/>
                <w:szCs w:val="20"/>
                <w:lang w:val="sk-SK"/>
              </w:rPr>
              <w:t xml:space="preserve">Dohody o pristúpení č. [•]/2022 </w:t>
            </w:r>
          </w:p>
        </w:tc>
      </w:tr>
      <w:tr w:rsidR="008727FA" w:rsidRPr="00902555" w:rsidTr="006269C7">
        <w:tc>
          <w:tcPr>
            <w:tcW w:w="9493" w:type="dxa"/>
            <w:tcBorders>
              <w:top w:val="single" w:sz="4" w:space="0" w:color="auto"/>
              <w:left w:val="single" w:sz="4" w:space="0" w:color="auto"/>
              <w:bottom w:val="single" w:sz="4" w:space="0" w:color="auto"/>
              <w:right w:val="single" w:sz="4" w:space="0" w:color="auto"/>
            </w:tcBorders>
          </w:tcPr>
          <w:p w:rsidR="008727FA" w:rsidRPr="00902555" w:rsidRDefault="008727FA" w:rsidP="006269C7">
            <w:pPr>
              <w:widowControl/>
              <w:autoSpaceDE/>
              <w:autoSpaceDN/>
              <w:ind w:left="2211" w:hanging="2211"/>
              <w:rPr>
                <w:rFonts w:eastAsia="Calibri"/>
                <w:b/>
                <w:sz w:val="18"/>
                <w:lang w:val="sk-SK"/>
              </w:rPr>
            </w:pPr>
            <w:r w:rsidRPr="00902555">
              <w:rPr>
                <w:rFonts w:eastAsia="Calibri"/>
                <w:b/>
                <w:sz w:val="18"/>
                <w:lang w:val="sk-SK"/>
              </w:rPr>
              <w:t>Objednávateľ:</w:t>
            </w:r>
          </w:p>
          <w:p w:rsidR="008727FA" w:rsidRPr="00902555" w:rsidRDefault="008727FA" w:rsidP="006269C7">
            <w:pPr>
              <w:widowControl/>
              <w:autoSpaceDE/>
              <w:autoSpaceDN/>
              <w:ind w:left="2211" w:hanging="2211"/>
              <w:rPr>
                <w:rFonts w:eastAsia="Calibri"/>
                <w:bCs/>
                <w:sz w:val="18"/>
                <w:lang w:val="sk-SK"/>
              </w:rPr>
            </w:pPr>
            <w:r w:rsidRPr="00902555">
              <w:rPr>
                <w:rFonts w:eastAsia="Calibri"/>
                <w:bCs/>
                <w:sz w:val="18"/>
                <w:lang w:val="sk-SK"/>
              </w:rPr>
              <w:t>Názov Oprávneného subjektu:</w:t>
            </w:r>
          </w:p>
          <w:p w:rsidR="008727FA" w:rsidRPr="00902555" w:rsidRDefault="008727FA" w:rsidP="006269C7">
            <w:pPr>
              <w:widowControl/>
              <w:autoSpaceDE/>
              <w:autoSpaceDN/>
              <w:ind w:left="2211" w:hanging="2211"/>
              <w:rPr>
                <w:rFonts w:eastAsia="Calibri"/>
                <w:bCs/>
                <w:sz w:val="18"/>
                <w:lang w:val="sk-SK"/>
              </w:rPr>
            </w:pPr>
            <w:r w:rsidRPr="00902555">
              <w:rPr>
                <w:rFonts w:eastAsia="Calibri"/>
                <w:bCs/>
                <w:sz w:val="18"/>
                <w:lang w:val="sk-SK"/>
              </w:rPr>
              <w:t>Sídlo:</w:t>
            </w:r>
          </w:p>
          <w:p w:rsidR="008727FA" w:rsidRPr="00902555" w:rsidRDefault="008727FA" w:rsidP="006269C7">
            <w:pPr>
              <w:widowControl/>
              <w:autoSpaceDE/>
              <w:autoSpaceDN/>
              <w:ind w:left="2211" w:hanging="2211"/>
              <w:rPr>
                <w:rFonts w:eastAsia="Calibri"/>
                <w:bCs/>
                <w:sz w:val="18"/>
                <w:lang w:val="sk-SK"/>
              </w:rPr>
            </w:pPr>
            <w:r w:rsidRPr="00902555">
              <w:rPr>
                <w:rFonts w:eastAsia="Calibri"/>
                <w:bCs/>
                <w:sz w:val="18"/>
                <w:lang w:val="sk-SK"/>
              </w:rPr>
              <w:t>IČO:</w:t>
            </w:r>
          </w:p>
          <w:p w:rsidR="008727FA" w:rsidRPr="00902555" w:rsidRDefault="008727FA" w:rsidP="006269C7">
            <w:pPr>
              <w:widowControl/>
              <w:autoSpaceDE/>
              <w:autoSpaceDN/>
              <w:ind w:left="2211" w:hanging="2211"/>
              <w:rPr>
                <w:rFonts w:eastAsia="Calibri"/>
                <w:bCs/>
                <w:sz w:val="18"/>
                <w:lang w:val="sk-SK"/>
              </w:rPr>
            </w:pPr>
            <w:r w:rsidRPr="00902555">
              <w:rPr>
                <w:rFonts w:eastAsia="Calibri"/>
                <w:bCs/>
                <w:sz w:val="18"/>
                <w:lang w:val="sk-SK"/>
              </w:rPr>
              <w:t>Konajúci prostredníctvom:</w:t>
            </w:r>
          </w:p>
          <w:p w:rsidR="008727FA" w:rsidRPr="00902555" w:rsidRDefault="008727FA" w:rsidP="006269C7">
            <w:pPr>
              <w:widowControl/>
              <w:autoSpaceDE/>
              <w:autoSpaceDN/>
              <w:ind w:left="2211" w:hanging="2211"/>
              <w:rPr>
                <w:rFonts w:eastAsia="Calibri"/>
                <w:bCs/>
                <w:lang w:val="sk-SK"/>
              </w:rPr>
            </w:pPr>
            <w:r w:rsidRPr="00902555">
              <w:rPr>
                <w:rFonts w:eastAsia="Calibri"/>
                <w:bCs/>
                <w:lang w:val="sk-SK"/>
              </w:rPr>
              <w:t>DIČ:</w:t>
            </w:r>
          </w:p>
          <w:p w:rsidR="008727FA" w:rsidRPr="00902555" w:rsidRDefault="008727FA" w:rsidP="006269C7">
            <w:pPr>
              <w:widowControl/>
              <w:autoSpaceDE/>
              <w:autoSpaceDN/>
              <w:ind w:left="2211" w:hanging="2211"/>
              <w:rPr>
                <w:rFonts w:eastAsia="Calibri"/>
                <w:bCs/>
                <w:lang w:val="sk-SK"/>
              </w:rPr>
            </w:pPr>
            <w:r w:rsidRPr="00902555">
              <w:rPr>
                <w:rFonts w:eastAsia="Calibri"/>
                <w:bCs/>
                <w:lang w:val="sk-SK"/>
              </w:rPr>
              <w:t>IČ DPH:</w:t>
            </w:r>
          </w:p>
          <w:p w:rsidR="008727FA" w:rsidRPr="00902555" w:rsidRDefault="008727FA" w:rsidP="006269C7">
            <w:pPr>
              <w:widowControl/>
              <w:autoSpaceDE/>
              <w:autoSpaceDN/>
              <w:ind w:left="2211" w:hanging="2211"/>
              <w:rPr>
                <w:rFonts w:eastAsia="Calibri"/>
                <w:bCs/>
                <w:lang w:val="sk-SK"/>
              </w:rPr>
            </w:pPr>
          </w:p>
        </w:tc>
      </w:tr>
      <w:tr w:rsidR="008727FA" w:rsidRPr="00902555" w:rsidTr="006269C7">
        <w:tc>
          <w:tcPr>
            <w:tcW w:w="9493" w:type="dxa"/>
            <w:tcBorders>
              <w:top w:val="single" w:sz="4" w:space="0" w:color="auto"/>
              <w:left w:val="single" w:sz="4" w:space="0" w:color="auto"/>
              <w:bottom w:val="single" w:sz="4" w:space="0" w:color="auto"/>
              <w:right w:val="single" w:sz="4" w:space="0" w:color="auto"/>
            </w:tcBorders>
          </w:tcPr>
          <w:p w:rsidR="008727FA" w:rsidRPr="00902555" w:rsidRDefault="008727FA" w:rsidP="008727FA">
            <w:pPr>
              <w:widowControl/>
              <w:numPr>
                <w:ilvl w:val="0"/>
                <w:numId w:val="1"/>
              </w:numPr>
              <w:autoSpaceDE/>
              <w:autoSpaceDN/>
              <w:spacing w:after="200" w:line="276" w:lineRule="auto"/>
              <w:contextualSpacing/>
              <w:jc w:val="both"/>
              <w:rPr>
                <w:rFonts w:eastAsia="Calibri"/>
                <w:sz w:val="18"/>
                <w:szCs w:val="18"/>
                <w:lang w:val="sk-SK"/>
              </w:rPr>
            </w:pPr>
            <w:r w:rsidRPr="00902555">
              <w:rPr>
                <w:rFonts w:eastAsia="Calibri"/>
                <w:sz w:val="18"/>
                <w:szCs w:val="18"/>
                <w:lang w:val="sk-SK"/>
              </w:rPr>
              <w:t>Oprávnený subjekt na základe akceptovania tejto Objednávky na softvér Dodávateľom nadobúda licenčné oprávnenia na štandardný softvér a súvisiacu podporu tak, ako sa uvádza nižšie.</w:t>
            </w:r>
          </w:p>
          <w:p w:rsidR="008727FA" w:rsidRPr="00902555" w:rsidRDefault="008727FA" w:rsidP="006269C7">
            <w:pPr>
              <w:widowControl/>
              <w:autoSpaceDE/>
              <w:autoSpaceDN/>
              <w:ind w:left="598"/>
              <w:contextualSpacing/>
              <w:jc w:val="both"/>
              <w:rPr>
                <w:rFonts w:eastAsia="Calibri"/>
                <w:sz w:val="18"/>
                <w:szCs w:val="18"/>
                <w:lang w:val="sk-SK"/>
              </w:rPr>
            </w:pPr>
          </w:p>
        </w:tc>
      </w:tr>
      <w:tr w:rsidR="008727FA" w:rsidRPr="00902555" w:rsidTr="006269C7">
        <w:tc>
          <w:tcPr>
            <w:tcW w:w="9493" w:type="dxa"/>
            <w:tcBorders>
              <w:top w:val="single" w:sz="4" w:space="0" w:color="auto"/>
              <w:left w:val="single" w:sz="4" w:space="0" w:color="auto"/>
              <w:bottom w:val="single" w:sz="4" w:space="0" w:color="auto"/>
              <w:right w:val="single" w:sz="4" w:space="0" w:color="auto"/>
            </w:tcBorders>
          </w:tcPr>
          <w:p w:rsidR="008727FA" w:rsidRPr="00902555" w:rsidRDefault="008727FA" w:rsidP="008727FA">
            <w:pPr>
              <w:widowControl/>
              <w:numPr>
                <w:ilvl w:val="0"/>
                <w:numId w:val="1"/>
              </w:numPr>
              <w:autoSpaceDE/>
              <w:autoSpaceDN/>
              <w:spacing w:after="200" w:line="276" w:lineRule="auto"/>
              <w:ind w:left="598" w:hanging="568"/>
              <w:contextualSpacing/>
              <w:jc w:val="both"/>
              <w:rPr>
                <w:rFonts w:eastAsia="Calibri"/>
                <w:b/>
                <w:bCs/>
                <w:sz w:val="18"/>
                <w:szCs w:val="18"/>
                <w:lang w:val="sk-SK"/>
              </w:rPr>
            </w:pPr>
            <w:r w:rsidRPr="00902555">
              <w:rPr>
                <w:rFonts w:eastAsia="Calibri"/>
                <w:b/>
                <w:bCs/>
                <w:sz w:val="18"/>
                <w:szCs w:val="18"/>
                <w:lang w:val="sk-SK"/>
              </w:rPr>
              <w:t xml:space="preserve">Licencovaný Softvér a licenčné poplatky </w:t>
            </w:r>
          </w:p>
          <w:p w:rsidR="008727FA" w:rsidRPr="00902555" w:rsidRDefault="008727FA" w:rsidP="006269C7">
            <w:pPr>
              <w:widowControl/>
              <w:autoSpaceDE/>
              <w:autoSpaceDN/>
              <w:ind w:left="598"/>
              <w:contextualSpacing/>
              <w:jc w:val="both"/>
              <w:rPr>
                <w:rFonts w:eastAsia="Calibri"/>
                <w:sz w:val="18"/>
                <w:szCs w:val="18"/>
                <w:lang w:val="sk-SK"/>
              </w:rPr>
            </w:pPr>
          </w:p>
          <w:p w:rsidR="008727FA" w:rsidRPr="00902555" w:rsidRDefault="008727FA" w:rsidP="006269C7">
            <w:pPr>
              <w:widowControl/>
              <w:autoSpaceDE/>
              <w:autoSpaceDN/>
              <w:ind w:left="598"/>
              <w:contextualSpacing/>
              <w:jc w:val="both"/>
              <w:rPr>
                <w:rFonts w:eastAsia="Calibri"/>
                <w:sz w:val="18"/>
                <w:szCs w:val="18"/>
                <w:lang w:val="sk-SK"/>
              </w:rPr>
            </w:pPr>
            <w:r w:rsidRPr="00902555">
              <w:rPr>
                <w:rFonts w:eastAsia="Calibri"/>
                <w:sz w:val="18"/>
                <w:szCs w:val="18"/>
                <w:lang w:val="sk-SK"/>
              </w:rPr>
              <w:t xml:space="preserve">Oprávnený subjekt nadobúda na základe tejto Objednávky na softvér licenčné oprávnenia k Softvéru SAP uvedenému v Prílohe č. 1 tejto Objednávky na Softvér v tam uvedenom objeme použitia (ďalej len </w:t>
            </w:r>
            <w:r w:rsidRPr="00902555">
              <w:rPr>
                <w:rFonts w:eastAsia="Calibri"/>
                <w:b/>
                <w:bCs/>
                <w:sz w:val="18"/>
                <w:szCs w:val="18"/>
                <w:lang w:val="sk-SK"/>
              </w:rPr>
              <w:t>„Softvér“</w:t>
            </w:r>
            <w:r w:rsidRPr="00902555">
              <w:rPr>
                <w:rFonts w:eastAsia="Calibri"/>
                <w:sz w:val="18"/>
                <w:szCs w:val="18"/>
                <w:lang w:val="sk-SK"/>
              </w:rPr>
              <w:t xml:space="preserve">). </w:t>
            </w:r>
          </w:p>
          <w:p w:rsidR="008727FA" w:rsidRPr="00902555" w:rsidRDefault="008727FA" w:rsidP="006269C7">
            <w:pPr>
              <w:widowControl/>
              <w:autoSpaceDE/>
              <w:autoSpaceDN/>
              <w:ind w:left="598"/>
              <w:contextualSpacing/>
              <w:jc w:val="both"/>
              <w:rPr>
                <w:rFonts w:eastAsia="Calibri"/>
                <w:sz w:val="18"/>
                <w:szCs w:val="18"/>
                <w:lang w:val="sk-SK"/>
              </w:rPr>
            </w:pPr>
          </w:p>
          <w:p w:rsidR="008727FA" w:rsidRPr="00902555" w:rsidRDefault="008727FA" w:rsidP="006269C7">
            <w:pPr>
              <w:widowControl/>
              <w:autoSpaceDE/>
              <w:autoSpaceDN/>
              <w:ind w:left="598"/>
              <w:contextualSpacing/>
              <w:jc w:val="both"/>
              <w:rPr>
                <w:rFonts w:eastAsia="Calibri"/>
                <w:b/>
                <w:sz w:val="18"/>
                <w:szCs w:val="18"/>
                <w:lang w:val="sk-SK"/>
              </w:rPr>
            </w:pPr>
            <w:r w:rsidRPr="00902555">
              <w:rPr>
                <w:rFonts w:eastAsia="Calibri"/>
                <w:sz w:val="18"/>
                <w:szCs w:val="18"/>
                <w:lang w:val="sk-SK"/>
              </w:rPr>
              <w:t>Licenčný poplatok za Softvér v Prílohe č.  1 k tejto Objednávke je [</w:t>
            </w:r>
            <w:r w:rsidRPr="00902555">
              <w:rPr>
                <w:rFonts w:ascii="MS Gothic" w:eastAsia="MS Gothic" w:hAnsi="MS Gothic" w:cs="MS Gothic"/>
                <w:sz w:val="18"/>
                <w:szCs w:val="18"/>
                <w:lang w:val="sk-SK"/>
              </w:rPr>
              <w:t>‧</w:t>
            </w:r>
            <w:r w:rsidRPr="00902555">
              <w:rPr>
                <w:rFonts w:eastAsia="Calibri"/>
                <w:sz w:val="18"/>
                <w:szCs w:val="18"/>
                <w:lang w:val="sk-SK"/>
              </w:rPr>
              <w:t>]</w:t>
            </w:r>
            <w:r w:rsidRPr="00902555">
              <w:rPr>
                <w:rFonts w:eastAsia="Calibri"/>
                <w:b/>
                <w:sz w:val="18"/>
                <w:lang w:val="sk-SK"/>
              </w:rPr>
              <w:t xml:space="preserve"> </w:t>
            </w:r>
            <w:r w:rsidRPr="00902555">
              <w:rPr>
                <w:rFonts w:eastAsia="Calibri"/>
                <w:b/>
                <w:sz w:val="18"/>
                <w:szCs w:val="18"/>
                <w:lang w:val="sk-SK"/>
              </w:rPr>
              <w:t>EUR (bez DPH)</w:t>
            </w:r>
          </w:p>
          <w:p w:rsidR="008727FA" w:rsidRPr="00902555" w:rsidRDefault="008727FA" w:rsidP="006269C7">
            <w:pPr>
              <w:widowControl/>
              <w:autoSpaceDE/>
              <w:autoSpaceDN/>
              <w:ind w:left="598"/>
              <w:contextualSpacing/>
              <w:jc w:val="both"/>
              <w:rPr>
                <w:rFonts w:eastAsia="Calibri"/>
                <w:sz w:val="18"/>
                <w:szCs w:val="18"/>
                <w:lang w:val="sk-SK"/>
              </w:rPr>
            </w:pPr>
          </w:p>
        </w:tc>
      </w:tr>
      <w:tr w:rsidR="008727FA" w:rsidRPr="00902555" w:rsidTr="006269C7">
        <w:tc>
          <w:tcPr>
            <w:tcW w:w="9493" w:type="dxa"/>
            <w:tcBorders>
              <w:top w:val="single" w:sz="4" w:space="0" w:color="auto"/>
              <w:left w:val="single" w:sz="4" w:space="0" w:color="auto"/>
              <w:bottom w:val="single" w:sz="4" w:space="0" w:color="auto"/>
              <w:right w:val="single" w:sz="4" w:space="0" w:color="auto"/>
            </w:tcBorders>
          </w:tcPr>
          <w:p w:rsidR="008727FA" w:rsidRPr="00902555" w:rsidRDefault="008727FA" w:rsidP="008727FA">
            <w:pPr>
              <w:widowControl/>
              <w:numPr>
                <w:ilvl w:val="0"/>
                <w:numId w:val="1"/>
              </w:numPr>
              <w:autoSpaceDE/>
              <w:autoSpaceDN/>
              <w:spacing w:after="200" w:line="276" w:lineRule="auto"/>
              <w:ind w:left="598" w:hanging="568"/>
              <w:contextualSpacing/>
              <w:jc w:val="both"/>
              <w:rPr>
                <w:rFonts w:eastAsia="Calibri"/>
                <w:sz w:val="18"/>
                <w:szCs w:val="18"/>
                <w:lang w:val="sk-SK"/>
              </w:rPr>
            </w:pPr>
            <w:r w:rsidRPr="00902555">
              <w:rPr>
                <w:rFonts w:eastAsia="Calibri"/>
                <w:b/>
                <w:bCs/>
                <w:sz w:val="18"/>
                <w:szCs w:val="18"/>
                <w:lang w:val="sk-SK"/>
              </w:rPr>
              <w:t>Služby podpory a poplatky za Služby podpory k Softvéru</w:t>
            </w:r>
          </w:p>
          <w:p w:rsidR="008727FA" w:rsidRPr="00902555" w:rsidRDefault="008727FA" w:rsidP="006269C7">
            <w:pPr>
              <w:widowControl/>
              <w:autoSpaceDE/>
              <w:autoSpaceDN/>
              <w:ind w:left="598"/>
              <w:contextualSpacing/>
              <w:jc w:val="both"/>
              <w:rPr>
                <w:rFonts w:eastAsia="Calibri"/>
                <w:sz w:val="18"/>
                <w:szCs w:val="18"/>
                <w:lang w:val="sk-SK"/>
              </w:rPr>
            </w:pPr>
          </w:p>
          <w:p w:rsidR="008727FA" w:rsidRPr="00902555" w:rsidRDefault="008727FA" w:rsidP="008727FA">
            <w:pPr>
              <w:widowControl/>
              <w:numPr>
                <w:ilvl w:val="1"/>
                <w:numId w:val="1"/>
              </w:numPr>
              <w:autoSpaceDE/>
              <w:autoSpaceDN/>
              <w:spacing w:after="200" w:line="276" w:lineRule="auto"/>
              <w:ind w:left="1165" w:hanging="567"/>
              <w:contextualSpacing/>
              <w:jc w:val="both"/>
              <w:rPr>
                <w:rFonts w:eastAsia="Calibri"/>
                <w:b/>
                <w:sz w:val="18"/>
                <w:szCs w:val="18"/>
                <w:lang w:val="sk-SK"/>
              </w:rPr>
            </w:pPr>
            <w:r w:rsidRPr="00902555">
              <w:rPr>
                <w:rFonts w:eastAsia="Calibri"/>
                <w:sz w:val="18"/>
                <w:szCs w:val="18"/>
                <w:lang w:val="sk-SK"/>
              </w:rPr>
              <w:t>Služby podpory sú v súlade s Rámcovou dohodou službami typu SAP [</w:t>
            </w:r>
            <w:r w:rsidRPr="00902555">
              <w:rPr>
                <w:rFonts w:ascii="MS Gothic" w:eastAsia="MS Gothic" w:hAnsi="MS Gothic" w:cs="MS Gothic"/>
                <w:sz w:val="18"/>
                <w:szCs w:val="18"/>
                <w:lang w:val="sk-SK"/>
              </w:rPr>
              <w:t>‧</w:t>
            </w:r>
            <w:r w:rsidRPr="00902555">
              <w:rPr>
                <w:rFonts w:eastAsia="Calibri"/>
                <w:sz w:val="18"/>
                <w:szCs w:val="18"/>
                <w:lang w:val="sk-SK"/>
              </w:rPr>
              <w:t xml:space="preserve">] </w:t>
            </w:r>
            <w:r w:rsidRPr="00902555">
              <w:rPr>
                <w:rFonts w:eastAsia="Calibri"/>
                <w:sz w:val="18"/>
                <w:lang w:val="sk-SK"/>
              </w:rPr>
              <w:t xml:space="preserve">(ďalej aj </w:t>
            </w:r>
            <w:r w:rsidRPr="00902555">
              <w:rPr>
                <w:rFonts w:eastAsia="Calibri"/>
                <w:b/>
                <w:bCs/>
                <w:sz w:val="18"/>
                <w:lang w:val="sk-SK"/>
              </w:rPr>
              <w:t>„Služby podpory“</w:t>
            </w:r>
            <w:r w:rsidRPr="00902555">
              <w:rPr>
                <w:rFonts w:eastAsia="Calibri"/>
                <w:sz w:val="18"/>
                <w:lang w:val="sk-SK"/>
              </w:rPr>
              <w:t xml:space="preserve">). Služby podpory sú podľa tejto Objednávky na softvér </w:t>
            </w:r>
            <w:r w:rsidRPr="00902555">
              <w:rPr>
                <w:rFonts w:eastAsia="Calibri"/>
                <w:sz w:val="18"/>
                <w:szCs w:val="18"/>
                <w:lang w:val="sk-SK"/>
              </w:rPr>
              <w:t xml:space="preserve">poskytované Dodávateľom pre Softvér. Dátum nadobudnutia účinnosti poskytovania Služieb podpory k Softvéru je prvý deň mesiaca nasledujúceho po mesiaci, v ktorom došlo k akceptovaniu tejto Objednávky na softvér Dodávateľom (ďalej len </w:t>
            </w:r>
            <w:r w:rsidRPr="00902555">
              <w:rPr>
                <w:rFonts w:eastAsia="Calibri"/>
                <w:b/>
                <w:bCs/>
                <w:sz w:val="18"/>
                <w:szCs w:val="18"/>
                <w:lang w:val="sk-SK"/>
              </w:rPr>
              <w:t>„Deň účinnosti poskytovania Služieb podpory“</w:t>
            </w:r>
            <w:r w:rsidRPr="00902555">
              <w:rPr>
                <w:rFonts w:eastAsia="Calibri"/>
                <w:sz w:val="18"/>
                <w:szCs w:val="18"/>
                <w:lang w:val="sk-SK"/>
              </w:rPr>
              <w:t>).</w:t>
            </w:r>
          </w:p>
          <w:p w:rsidR="008727FA" w:rsidRPr="00902555" w:rsidRDefault="008727FA" w:rsidP="006269C7">
            <w:pPr>
              <w:widowControl/>
              <w:autoSpaceDE/>
              <w:autoSpaceDN/>
              <w:ind w:left="1165"/>
              <w:contextualSpacing/>
              <w:jc w:val="both"/>
              <w:rPr>
                <w:rFonts w:eastAsia="Calibri"/>
                <w:b/>
                <w:sz w:val="18"/>
                <w:szCs w:val="18"/>
                <w:lang w:val="sk-SK"/>
              </w:rPr>
            </w:pPr>
          </w:p>
          <w:p w:rsidR="008727FA" w:rsidRPr="00902555" w:rsidRDefault="008727FA" w:rsidP="008727FA">
            <w:pPr>
              <w:widowControl/>
              <w:numPr>
                <w:ilvl w:val="1"/>
                <w:numId w:val="1"/>
              </w:numPr>
              <w:autoSpaceDE/>
              <w:autoSpaceDN/>
              <w:spacing w:after="200" w:line="276" w:lineRule="auto"/>
              <w:ind w:left="1165" w:hanging="567"/>
              <w:contextualSpacing/>
              <w:jc w:val="both"/>
              <w:rPr>
                <w:rFonts w:eastAsia="Calibri"/>
                <w:b/>
                <w:sz w:val="18"/>
                <w:szCs w:val="18"/>
                <w:lang w:val="sk-SK"/>
              </w:rPr>
            </w:pPr>
            <w:r w:rsidRPr="00902555">
              <w:rPr>
                <w:rFonts w:eastAsia="Calibri"/>
                <w:sz w:val="18"/>
                <w:szCs w:val="18"/>
                <w:lang w:val="sk-SK"/>
              </w:rPr>
              <w:t>Aktuálny ročný poplatok za Služby podpory pre Softvér podľa Prílohy č. 1 tejto Objednávky je v súlade s Rámcovou dohodou [</w:t>
            </w:r>
            <w:r w:rsidRPr="00902555">
              <w:rPr>
                <w:rFonts w:ascii="MS Gothic" w:eastAsia="MS Gothic" w:hAnsi="MS Gothic" w:cs="MS Gothic"/>
                <w:sz w:val="18"/>
                <w:szCs w:val="18"/>
                <w:lang w:val="sk-SK"/>
              </w:rPr>
              <w:t>‧</w:t>
            </w:r>
            <w:r w:rsidRPr="00902555">
              <w:rPr>
                <w:rFonts w:eastAsia="Calibri"/>
                <w:sz w:val="18"/>
                <w:szCs w:val="18"/>
                <w:lang w:val="sk-SK"/>
              </w:rPr>
              <w:t>] % zo základu pre výpočet poplatku za Služby podpory uvedeného v Prílohe č. 1 tejto Objednávky na softvér. Dodávateľ súhlasí s tým, že sa poplatok za Služby podpory pre Softvér nezvýši počas trvania Rámcovej Dohody.</w:t>
            </w:r>
          </w:p>
          <w:p w:rsidR="008727FA" w:rsidRPr="00902555" w:rsidRDefault="008727FA" w:rsidP="006269C7">
            <w:pPr>
              <w:widowControl/>
              <w:autoSpaceDE/>
              <w:autoSpaceDN/>
              <w:spacing w:after="200" w:line="276" w:lineRule="auto"/>
              <w:ind w:left="720"/>
              <w:contextualSpacing/>
              <w:rPr>
                <w:rFonts w:eastAsia="Calibri"/>
                <w:b/>
                <w:sz w:val="18"/>
                <w:szCs w:val="18"/>
                <w:lang w:val="sk-SK"/>
              </w:rPr>
            </w:pPr>
          </w:p>
          <w:p w:rsidR="008727FA" w:rsidRPr="00902555" w:rsidRDefault="008727FA" w:rsidP="008727FA">
            <w:pPr>
              <w:widowControl/>
              <w:numPr>
                <w:ilvl w:val="1"/>
                <w:numId w:val="1"/>
              </w:numPr>
              <w:autoSpaceDE/>
              <w:autoSpaceDN/>
              <w:spacing w:after="200" w:line="276" w:lineRule="auto"/>
              <w:ind w:left="1165" w:hanging="567"/>
              <w:contextualSpacing/>
              <w:jc w:val="both"/>
              <w:rPr>
                <w:rFonts w:eastAsia="Calibri"/>
                <w:sz w:val="18"/>
                <w:szCs w:val="18"/>
                <w:lang w:val="sk-SK"/>
              </w:rPr>
            </w:pPr>
            <w:r w:rsidRPr="00902555">
              <w:rPr>
                <w:rFonts w:eastAsia="Calibri"/>
                <w:sz w:val="18"/>
                <w:szCs w:val="18"/>
                <w:lang w:val="sk-SK"/>
              </w:rPr>
              <w:t>Po uplynutí Počiatočného obdobia a prvej Doby obnovenia si Dodávateľ vyhradzuje právo zvýšiť poplatok za poskytovanie Služieb podpory každoročne s účinnosťou (zväčša) od 01.01. príslušného roka bez predchádzajúceho oznámenia Oprávnenému subjektu. Dodávateľ postupuje tak, že sa hodnota celkovej výšky poplatku za Služby podpory za predchádzajúci kalendárny rok navýši o mieru inflácie za kalendárny rok predchádzajúci kalendárnemu roku, v ktorom má dôjsť k navýšeniu poplatku za poskytovanie údržby (ďalej len „Miera inflácie“). Miera inflácie sa určuje Indexom spotrebiteľských cien zverejňovaným Štatistickým úradom Slovenskej republiky za kalendárny rok predchádzajúci kalendárnemu roku, v ktorom má prísť k navýšeniu, pričom predmetný Index spotrebiteľských cien za predchádzajúci kalendárny rok je meraný v porovnaní s kalendárnym rokom, ktorý tomuto (predchádzajúcemu) roku predchádzal. V prípade, že nebude príslušný index vyhlasovaný, nahradí ho Dodávateľ podľa svojho vlastného uváženia porovnateľným indexom alebo indexom vyhlasovaným inštitúciou, ktorá v budúcnosti nahradí Štatistický úrad Slovenskej republiky. Nezvýšenie poplatku za poskytovanie Služieb podpory počas ktoréhokoľvek kalendárneho roku poskytovania Služieb podpory neznamená vzdanie sa práva Dodávateľa na zvýšenie poplatku v ktoromkoľvek nasledujúcom kalendárnom roku. Dodávateľ si taktiež vyhradzuje právo kumulácie navýšenia v prípade, že v predchádzajúcich kalendárnych rokoch poskytovania Služieb podpory k navýšeniu  neprišlo.</w:t>
            </w:r>
          </w:p>
          <w:p w:rsidR="008727FA" w:rsidRPr="00902555" w:rsidRDefault="008727FA" w:rsidP="006269C7">
            <w:pPr>
              <w:widowControl/>
              <w:autoSpaceDE/>
              <w:autoSpaceDN/>
              <w:ind w:left="1165"/>
              <w:contextualSpacing/>
              <w:jc w:val="both"/>
              <w:rPr>
                <w:rFonts w:eastAsia="Calibri"/>
                <w:b/>
                <w:sz w:val="18"/>
                <w:szCs w:val="18"/>
                <w:lang w:val="sk-SK"/>
              </w:rPr>
            </w:pPr>
          </w:p>
        </w:tc>
      </w:tr>
      <w:tr w:rsidR="008727FA" w:rsidRPr="00902555" w:rsidTr="006269C7">
        <w:tc>
          <w:tcPr>
            <w:tcW w:w="9493" w:type="dxa"/>
            <w:tcBorders>
              <w:top w:val="single" w:sz="4" w:space="0" w:color="auto"/>
              <w:left w:val="single" w:sz="4" w:space="0" w:color="auto"/>
              <w:bottom w:val="single" w:sz="4" w:space="0" w:color="auto"/>
              <w:right w:val="single" w:sz="4" w:space="0" w:color="auto"/>
            </w:tcBorders>
          </w:tcPr>
          <w:p w:rsidR="008727FA" w:rsidRPr="00902555" w:rsidRDefault="008727FA" w:rsidP="008727FA">
            <w:pPr>
              <w:widowControl/>
              <w:numPr>
                <w:ilvl w:val="0"/>
                <w:numId w:val="1"/>
              </w:numPr>
              <w:autoSpaceDE/>
              <w:autoSpaceDN/>
              <w:spacing w:after="200" w:line="276" w:lineRule="auto"/>
              <w:ind w:left="598" w:hanging="568"/>
              <w:contextualSpacing/>
              <w:jc w:val="both"/>
              <w:rPr>
                <w:rFonts w:eastAsia="Calibri"/>
                <w:b/>
                <w:sz w:val="18"/>
                <w:szCs w:val="18"/>
                <w:lang w:val="sk-SK"/>
              </w:rPr>
            </w:pPr>
            <w:r w:rsidRPr="00902555">
              <w:rPr>
                <w:rFonts w:eastAsia="Calibri"/>
                <w:b/>
                <w:sz w:val="18"/>
                <w:szCs w:val="18"/>
                <w:lang w:val="sk-SK"/>
              </w:rPr>
              <w:t>Platobné podmienky</w:t>
            </w:r>
          </w:p>
          <w:p w:rsidR="008727FA" w:rsidRPr="00902555" w:rsidRDefault="008727FA" w:rsidP="006269C7">
            <w:pPr>
              <w:keepLines/>
              <w:widowControl/>
              <w:tabs>
                <w:tab w:val="left" w:pos="0"/>
              </w:tabs>
              <w:autoSpaceDE/>
              <w:autoSpaceDN/>
              <w:jc w:val="both"/>
              <w:rPr>
                <w:rFonts w:eastAsia="Calibri"/>
                <w:sz w:val="18"/>
                <w:szCs w:val="18"/>
                <w:lang w:val="sk-SK"/>
              </w:rPr>
            </w:pPr>
          </w:p>
          <w:p w:rsidR="008727FA" w:rsidRPr="00902555" w:rsidRDefault="008727FA" w:rsidP="008727FA">
            <w:pPr>
              <w:widowControl/>
              <w:numPr>
                <w:ilvl w:val="1"/>
                <w:numId w:val="1"/>
              </w:numPr>
              <w:autoSpaceDE/>
              <w:autoSpaceDN/>
              <w:spacing w:after="200" w:line="276" w:lineRule="auto"/>
              <w:ind w:left="1165" w:hanging="567"/>
              <w:contextualSpacing/>
              <w:jc w:val="both"/>
              <w:rPr>
                <w:rFonts w:eastAsia="Calibri"/>
                <w:sz w:val="18"/>
                <w:szCs w:val="18"/>
                <w:lang w:val="sk-SK"/>
              </w:rPr>
            </w:pPr>
            <w:r w:rsidRPr="00902555">
              <w:rPr>
                <w:rFonts w:eastAsia="Calibri"/>
                <w:sz w:val="18"/>
                <w:szCs w:val="18"/>
                <w:lang w:val="sk-SK"/>
              </w:rPr>
              <w:lastRenderedPageBreak/>
              <w:t>Všetky poplatky sú predmetom dane z pridanej hodnoty okrem prípadov, kedy je transakcia od tejto dane oslobodená.  Licenčný poplatok za Softvér je splatný do 30 dní od dátumu vystavenia faktúry. Poplatky za Služby podpory sú splatné do 30 dní od dátumu vystavenie príslušnej faktúry.</w:t>
            </w:r>
          </w:p>
          <w:p w:rsidR="008727FA" w:rsidRPr="00902555" w:rsidRDefault="008727FA" w:rsidP="006269C7">
            <w:pPr>
              <w:keepLines/>
              <w:widowControl/>
              <w:autoSpaceDE/>
              <w:autoSpaceDN/>
              <w:ind w:left="317"/>
              <w:contextualSpacing/>
              <w:jc w:val="both"/>
              <w:rPr>
                <w:rFonts w:eastAsia="Calibri"/>
                <w:sz w:val="18"/>
                <w:szCs w:val="18"/>
                <w:lang w:val="sk-SK"/>
              </w:rPr>
            </w:pPr>
          </w:p>
          <w:p w:rsidR="008727FA" w:rsidRPr="00902555" w:rsidRDefault="008727FA" w:rsidP="008727FA">
            <w:pPr>
              <w:widowControl/>
              <w:numPr>
                <w:ilvl w:val="1"/>
                <w:numId w:val="1"/>
              </w:numPr>
              <w:autoSpaceDE/>
              <w:autoSpaceDN/>
              <w:spacing w:after="200" w:line="276" w:lineRule="auto"/>
              <w:ind w:left="1165" w:hanging="567"/>
              <w:contextualSpacing/>
              <w:jc w:val="both"/>
              <w:rPr>
                <w:rFonts w:eastAsia="Calibri"/>
                <w:sz w:val="18"/>
                <w:szCs w:val="18"/>
                <w:lang w:val="sk-SK"/>
              </w:rPr>
            </w:pPr>
            <w:r w:rsidRPr="00902555">
              <w:rPr>
                <w:rFonts w:eastAsia="Calibri"/>
                <w:sz w:val="18"/>
                <w:szCs w:val="18"/>
                <w:lang w:val="sk-SK"/>
              </w:rPr>
              <w:t>Fakturácia licenčného poplatku za Softvér sa uskutoční k dátumu dodania Softvéru. Fakturácia za Služby podpory sa uskutoční štvrťročne vždy na začiatku kalendárneho štvrťroka, v ktorom sa Služby podpory poskytujú.</w:t>
            </w:r>
          </w:p>
          <w:p w:rsidR="008727FA" w:rsidRPr="00902555" w:rsidRDefault="008727FA" w:rsidP="006269C7">
            <w:pPr>
              <w:keepLines/>
              <w:widowControl/>
              <w:autoSpaceDE/>
              <w:autoSpaceDN/>
              <w:ind w:left="720"/>
              <w:contextualSpacing/>
              <w:jc w:val="both"/>
              <w:rPr>
                <w:rFonts w:eastAsia="Calibri"/>
                <w:sz w:val="18"/>
                <w:szCs w:val="18"/>
                <w:lang w:val="sk-SK"/>
              </w:rPr>
            </w:pPr>
          </w:p>
          <w:p w:rsidR="008727FA" w:rsidRPr="00902555" w:rsidRDefault="008727FA" w:rsidP="008727FA">
            <w:pPr>
              <w:widowControl/>
              <w:numPr>
                <w:ilvl w:val="1"/>
                <w:numId w:val="1"/>
              </w:numPr>
              <w:autoSpaceDE/>
              <w:autoSpaceDN/>
              <w:spacing w:after="200" w:line="276" w:lineRule="auto"/>
              <w:ind w:left="1165" w:hanging="567"/>
              <w:contextualSpacing/>
              <w:jc w:val="both"/>
              <w:rPr>
                <w:rFonts w:eastAsia="Calibri"/>
                <w:sz w:val="18"/>
                <w:szCs w:val="18"/>
                <w:lang w:val="sk-SK"/>
              </w:rPr>
            </w:pPr>
            <w:r w:rsidRPr="00902555">
              <w:rPr>
                <w:rFonts w:eastAsia="Calibri"/>
                <w:sz w:val="18"/>
                <w:szCs w:val="18"/>
                <w:lang w:val="sk-SK"/>
              </w:rPr>
              <w:t>Dátumom dodania (na účely DPH) vo vzťahu k Softvéru je dátum akceptovania tejto Objednávky na softvér. Dátumom dodania (na účely DPH) pri Službách podpory je dátum vystavenia faktúry za príslušný štvrťrok.</w:t>
            </w:r>
          </w:p>
          <w:p w:rsidR="008727FA" w:rsidRPr="00902555" w:rsidRDefault="008727FA" w:rsidP="006269C7">
            <w:pPr>
              <w:widowControl/>
              <w:autoSpaceDE/>
              <w:autoSpaceDN/>
              <w:ind w:left="1165"/>
              <w:jc w:val="both"/>
              <w:rPr>
                <w:rFonts w:eastAsia="Times New Roman"/>
                <w:spacing w:val="1"/>
                <w:sz w:val="18"/>
                <w:szCs w:val="18"/>
                <w:lang w:val="sk-SK" w:eastAsia="cs-CZ"/>
              </w:rPr>
            </w:pPr>
          </w:p>
        </w:tc>
      </w:tr>
      <w:tr w:rsidR="008727FA" w:rsidRPr="00902555" w:rsidTr="006269C7">
        <w:tc>
          <w:tcPr>
            <w:tcW w:w="9493" w:type="dxa"/>
            <w:tcBorders>
              <w:top w:val="single" w:sz="4" w:space="0" w:color="auto"/>
              <w:left w:val="single" w:sz="4" w:space="0" w:color="auto"/>
              <w:bottom w:val="single" w:sz="4" w:space="0" w:color="auto"/>
              <w:right w:val="single" w:sz="4" w:space="0" w:color="auto"/>
            </w:tcBorders>
          </w:tcPr>
          <w:p w:rsidR="008727FA" w:rsidRPr="00902555" w:rsidRDefault="008727FA" w:rsidP="008727FA">
            <w:pPr>
              <w:widowControl/>
              <w:numPr>
                <w:ilvl w:val="0"/>
                <w:numId w:val="1"/>
              </w:numPr>
              <w:autoSpaceDE/>
              <w:autoSpaceDN/>
              <w:spacing w:after="200" w:line="276" w:lineRule="auto"/>
              <w:ind w:left="598" w:hanging="568"/>
              <w:contextualSpacing/>
              <w:jc w:val="both"/>
              <w:rPr>
                <w:rFonts w:eastAsia="Calibri"/>
                <w:sz w:val="18"/>
                <w:lang w:val="sk-SK"/>
              </w:rPr>
            </w:pPr>
            <w:r w:rsidRPr="00902555">
              <w:rPr>
                <w:rFonts w:eastAsia="Calibri"/>
                <w:b/>
                <w:sz w:val="18"/>
                <w:lang w:val="sk-SK"/>
              </w:rPr>
              <w:lastRenderedPageBreak/>
              <w:t>Dodanie</w:t>
            </w:r>
          </w:p>
          <w:p w:rsidR="008727FA" w:rsidRPr="00902555" w:rsidRDefault="008727FA" w:rsidP="006269C7">
            <w:pPr>
              <w:widowControl/>
              <w:autoSpaceDE/>
              <w:autoSpaceDN/>
              <w:ind w:left="598"/>
              <w:contextualSpacing/>
              <w:jc w:val="both"/>
              <w:rPr>
                <w:rFonts w:eastAsia="Calibri"/>
                <w:sz w:val="18"/>
                <w:lang w:val="sk-SK"/>
              </w:rPr>
            </w:pPr>
          </w:p>
          <w:p w:rsidR="008727FA" w:rsidRPr="00902555" w:rsidRDefault="008727FA" w:rsidP="008727FA">
            <w:pPr>
              <w:widowControl/>
              <w:numPr>
                <w:ilvl w:val="1"/>
                <w:numId w:val="1"/>
              </w:numPr>
              <w:autoSpaceDE/>
              <w:autoSpaceDN/>
              <w:spacing w:after="200" w:line="276" w:lineRule="auto"/>
              <w:ind w:left="1165" w:hanging="567"/>
              <w:contextualSpacing/>
              <w:jc w:val="both"/>
              <w:rPr>
                <w:rFonts w:eastAsia="Calibri"/>
                <w:sz w:val="18"/>
                <w:szCs w:val="18"/>
                <w:lang w:val="sk-SK"/>
              </w:rPr>
            </w:pPr>
            <w:r w:rsidRPr="00902555">
              <w:rPr>
                <w:rFonts w:eastAsia="Calibri"/>
                <w:sz w:val="18"/>
                <w:szCs w:val="18"/>
                <w:lang w:val="sk-SK"/>
              </w:rPr>
              <w:t>Ak sa Oprávnenému subjektu poskytuje licencia iba na množstevné (rozsahové) rozšírenie softvéru licencovaného v predchádzajúcom období, nerealizuje sa dodanie žiadneho ďalšieho softvéru.</w:t>
            </w:r>
            <w:r w:rsidRPr="00902555">
              <w:rPr>
                <w:rFonts w:eastAsia="Calibri"/>
                <w:sz w:val="18"/>
                <w:lang w:val="sk-SK"/>
              </w:rPr>
              <w:t xml:space="preserve"> Ak softvér nebol predtým licencovaný, </w:t>
            </w:r>
            <w:r w:rsidRPr="00902555">
              <w:rPr>
                <w:rFonts w:eastAsia="Calibri"/>
                <w:sz w:val="18"/>
                <w:szCs w:val="18"/>
                <w:lang w:val="sk-SK"/>
              </w:rPr>
              <w:t>Dodávateľ dodá Softvér formou elektronického doručenia.</w:t>
            </w:r>
          </w:p>
          <w:p w:rsidR="008727FA" w:rsidRPr="00902555" w:rsidRDefault="008727FA" w:rsidP="006269C7">
            <w:pPr>
              <w:widowControl/>
              <w:autoSpaceDE/>
              <w:autoSpaceDN/>
              <w:contextualSpacing/>
              <w:jc w:val="both"/>
              <w:rPr>
                <w:rFonts w:eastAsia="Calibri"/>
                <w:sz w:val="18"/>
                <w:szCs w:val="18"/>
                <w:lang w:val="sk-SK"/>
              </w:rPr>
            </w:pPr>
          </w:p>
          <w:p w:rsidR="008727FA" w:rsidRPr="00902555" w:rsidRDefault="008727FA" w:rsidP="008727FA">
            <w:pPr>
              <w:widowControl/>
              <w:numPr>
                <w:ilvl w:val="1"/>
                <w:numId w:val="1"/>
              </w:numPr>
              <w:autoSpaceDE/>
              <w:autoSpaceDN/>
              <w:spacing w:after="200" w:line="276" w:lineRule="auto"/>
              <w:ind w:left="1165" w:hanging="567"/>
              <w:contextualSpacing/>
              <w:jc w:val="both"/>
              <w:rPr>
                <w:rFonts w:eastAsia="Calibri"/>
                <w:sz w:val="18"/>
                <w:szCs w:val="18"/>
                <w:lang w:val="sk-SK"/>
              </w:rPr>
            </w:pPr>
            <w:r w:rsidRPr="00902555">
              <w:rPr>
                <w:rFonts w:eastAsia="Calibri"/>
                <w:sz w:val="18"/>
                <w:szCs w:val="18"/>
                <w:lang w:val="sk-SK"/>
              </w:rPr>
              <w:t>Nižšie uvedené údaje na vzdialený prístup sú potrebné na získanie prístupu na lokalitu SAP Service Marketplace a na stiahnutie Softvéru:</w:t>
            </w:r>
          </w:p>
          <w:p w:rsidR="008727FA" w:rsidRPr="00902555" w:rsidRDefault="008727FA" w:rsidP="006269C7">
            <w:pPr>
              <w:widowControl/>
              <w:autoSpaceDE/>
              <w:autoSpaceDN/>
              <w:contextualSpacing/>
              <w:rPr>
                <w:rFonts w:eastAsia="Calibri"/>
                <w:sz w:val="18"/>
                <w:szCs w:val="18"/>
                <w:lang w:val="sk-SK"/>
              </w:rPr>
            </w:pPr>
          </w:p>
          <w:p w:rsidR="008727FA" w:rsidRPr="00902555" w:rsidRDefault="008727FA" w:rsidP="006269C7">
            <w:pPr>
              <w:keepLines/>
              <w:widowControl/>
              <w:adjustRightInd w:val="0"/>
              <w:ind w:left="1165"/>
              <w:rPr>
                <w:rFonts w:eastAsia="Calibri"/>
                <w:b/>
                <w:sz w:val="18"/>
                <w:szCs w:val="18"/>
                <w:lang w:val="sk-SK"/>
              </w:rPr>
            </w:pPr>
            <w:r w:rsidRPr="00902555">
              <w:rPr>
                <w:rFonts w:eastAsia="Calibri"/>
                <w:b/>
                <w:sz w:val="18"/>
                <w:szCs w:val="18"/>
                <w:lang w:val="sk-SK"/>
              </w:rPr>
              <w:t xml:space="preserve">S-User:  </w:t>
            </w:r>
          </w:p>
          <w:p w:rsidR="008727FA" w:rsidRPr="00902555" w:rsidRDefault="008727FA" w:rsidP="006269C7">
            <w:pPr>
              <w:keepLines/>
              <w:widowControl/>
              <w:adjustRightInd w:val="0"/>
              <w:ind w:left="1165"/>
              <w:rPr>
                <w:rFonts w:eastAsia="Calibri"/>
                <w:sz w:val="18"/>
                <w:szCs w:val="18"/>
                <w:lang w:val="sk-SK"/>
              </w:rPr>
            </w:pPr>
            <w:r w:rsidRPr="00902555">
              <w:rPr>
                <w:rFonts w:eastAsia="Calibri"/>
                <w:sz w:val="18"/>
                <w:szCs w:val="18"/>
                <w:lang w:val="sk-SK"/>
              </w:rPr>
              <w:t>Meno:                                   [</w:t>
            </w:r>
            <w:r w:rsidRPr="00902555">
              <w:rPr>
                <w:rFonts w:ascii="MS Gothic" w:eastAsia="MS Gothic" w:hAnsi="MS Gothic" w:cs="MS Gothic"/>
                <w:sz w:val="18"/>
                <w:szCs w:val="18"/>
                <w:lang w:val="sk-SK"/>
              </w:rPr>
              <w:t>‧</w:t>
            </w:r>
            <w:r w:rsidRPr="00902555">
              <w:rPr>
                <w:rFonts w:eastAsia="Calibri"/>
                <w:sz w:val="18"/>
                <w:szCs w:val="18"/>
                <w:lang w:val="sk-SK"/>
              </w:rPr>
              <w:t>]</w:t>
            </w:r>
          </w:p>
          <w:p w:rsidR="008727FA" w:rsidRPr="00902555" w:rsidRDefault="008727FA" w:rsidP="006269C7">
            <w:pPr>
              <w:keepLines/>
              <w:widowControl/>
              <w:adjustRightInd w:val="0"/>
              <w:ind w:left="1165"/>
              <w:rPr>
                <w:rFonts w:eastAsia="Calibri"/>
                <w:sz w:val="18"/>
                <w:szCs w:val="18"/>
                <w:lang w:val="sk-SK"/>
              </w:rPr>
            </w:pPr>
            <w:r w:rsidRPr="00902555">
              <w:rPr>
                <w:rFonts w:eastAsia="Calibri"/>
                <w:sz w:val="18"/>
                <w:szCs w:val="18"/>
                <w:lang w:val="sk-SK"/>
              </w:rPr>
              <w:t>ID POUŽÍVATEĽA:                  [</w:t>
            </w:r>
            <w:r w:rsidRPr="00902555">
              <w:rPr>
                <w:rFonts w:ascii="MS Gothic" w:eastAsia="MS Gothic" w:hAnsi="MS Gothic" w:cs="MS Gothic"/>
                <w:sz w:val="18"/>
                <w:szCs w:val="18"/>
                <w:lang w:val="sk-SK"/>
              </w:rPr>
              <w:t>‧</w:t>
            </w:r>
            <w:r w:rsidRPr="00902555">
              <w:rPr>
                <w:rFonts w:eastAsia="Calibri"/>
                <w:sz w:val="18"/>
                <w:szCs w:val="18"/>
                <w:lang w:val="sk-SK"/>
              </w:rPr>
              <w:t>]</w:t>
            </w:r>
          </w:p>
          <w:p w:rsidR="008727FA" w:rsidRPr="00902555" w:rsidRDefault="008727FA" w:rsidP="006269C7">
            <w:pPr>
              <w:keepLines/>
              <w:widowControl/>
              <w:adjustRightInd w:val="0"/>
              <w:ind w:left="1165"/>
              <w:rPr>
                <w:rFonts w:eastAsia="Calibri"/>
                <w:sz w:val="18"/>
                <w:szCs w:val="18"/>
                <w:lang w:val="sk-SK"/>
              </w:rPr>
            </w:pPr>
            <w:r w:rsidRPr="00902555">
              <w:rPr>
                <w:rFonts w:eastAsia="Calibri"/>
                <w:sz w:val="18"/>
                <w:szCs w:val="18"/>
                <w:lang w:val="sk-SK"/>
              </w:rPr>
              <w:t>HESLO:                                 [</w:t>
            </w:r>
            <w:r w:rsidRPr="00902555">
              <w:rPr>
                <w:rFonts w:ascii="MS Gothic" w:eastAsia="MS Gothic" w:hAnsi="MS Gothic" w:cs="MS Gothic"/>
                <w:sz w:val="18"/>
                <w:szCs w:val="18"/>
                <w:lang w:val="sk-SK"/>
              </w:rPr>
              <w:t>‧</w:t>
            </w:r>
            <w:r w:rsidRPr="00902555">
              <w:rPr>
                <w:rFonts w:eastAsia="Calibri"/>
                <w:sz w:val="18"/>
                <w:szCs w:val="18"/>
                <w:lang w:val="sk-SK"/>
              </w:rPr>
              <w:t>]</w:t>
            </w:r>
          </w:p>
          <w:p w:rsidR="008727FA" w:rsidRPr="00902555" w:rsidRDefault="008727FA" w:rsidP="006269C7">
            <w:pPr>
              <w:keepLines/>
              <w:widowControl/>
              <w:adjustRightInd w:val="0"/>
              <w:ind w:left="1165"/>
              <w:rPr>
                <w:rFonts w:eastAsia="Calibri"/>
                <w:sz w:val="18"/>
                <w:szCs w:val="18"/>
                <w:lang w:val="sk-SK"/>
              </w:rPr>
            </w:pPr>
          </w:p>
          <w:p w:rsidR="008727FA" w:rsidRPr="00902555" w:rsidRDefault="008727FA" w:rsidP="008727FA">
            <w:pPr>
              <w:widowControl/>
              <w:numPr>
                <w:ilvl w:val="1"/>
                <w:numId w:val="1"/>
              </w:numPr>
              <w:autoSpaceDE/>
              <w:autoSpaceDN/>
              <w:spacing w:after="200" w:line="276" w:lineRule="auto"/>
              <w:ind w:left="1165" w:hanging="567"/>
              <w:contextualSpacing/>
              <w:jc w:val="both"/>
              <w:rPr>
                <w:rFonts w:eastAsia="Calibri"/>
                <w:sz w:val="18"/>
                <w:szCs w:val="18"/>
                <w:lang w:val="sk-SK"/>
              </w:rPr>
            </w:pPr>
            <w:r w:rsidRPr="00902555">
              <w:rPr>
                <w:rFonts w:eastAsia="Calibri"/>
                <w:sz w:val="18"/>
                <w:szCs w:val="18"/>
                <w:lang w:val="sk-SK"/>
              </w:rPr>
              <w:t>Dodávateľ je oprávnený uviesť obchodné meno Oprávneného subjektu a licencovaný Softvér v zozname zákazníkov ako aj v komunikácii hospodárskych výsledkov.</w:t>
            </w:r>
          </w:p>
          <w:p w:rsidR="008727FA" w:rsidRPr="00902555" w:rsidRDefault="008727FA" w:rsidP="006269C7">
            <w:pPr>
              <w:widowControl/>
              <w:autoSpaceDE/>
              <w:autoSpaceDN/>
              <w:ind w:left="1165"/>
              <w:contextualSpacing/>
              <w:jc w:val="both"/>
              <w:rPr>
                <w:rFonts w:eastAsia="Calibri"/>
                <w:sz w:val="18"/>
                <w:szCs w:val="18"/>
                <w:lang w:val="sk-SK"/>
              </w:rPr>
            </w:pPr>
          </w:p>
        </w:tc>
      </w:tr>
      <w:tr w:rsidR="008727FA" w:rsidRPr="00902555" w:rsidTr="006269C7">
        <w:tc>
          <w:tcPr>
            <w:tcW w:w="9493" w:type="dxa"/>
            <w:tcBorders>
              <w:top w:val="single" w:sz="4" w:space="0" w:color="auto"/>
              <w:left w:val="single" w:sz="4" w:space="0" w:color="auto"/>
              <w:bottom w:val="single" w:sz="4" w:space="0" w:color="auto"/>
              <w:right w:val="single" w:sz="4" w:space="0" w:color="auto"/>
            </w:tcBorders>
          </w:tcPr>
          <w:p w:rsidR="008727FA" w:rsidRPr="00902555" w:rsidRDefault="008727FA" w:rsidP="008727FA">
            <w:pPr>
              <w:widowControl/>
              <w:numPr>
                <w:ilvl w:val="0"/>
                <w:numId w:val="1"/>
              </w:numPr>
              <w:autoSpaceDE/>
              <w:autoSpaceDN/>
              <w:spacing w:after="200" w:line="276" w:lineRule="auto"/>
              <w:ind w:left="598" w:hanging="568"/>
              <w:contextualSpacing/>
              <w:jc w:val="both"/>
              <w:rPr>
                <w:rFonts w:eastAsia="Calibri"/>
                <w:b/>
                <w:sz w:val="18"/>
                <w:szCs w:val="18"/>
                <w:lang w:val="sk-SK"/>
              </w:rPr>
            </w:pPr>
            <w:r w:rsidRPr="00902555">
              <w:rPr>
                <w:rFonts w:eastAsia="Calibri"/>
                <w:b/>
                <w:sz w:val="18"/>
                <w:szCs w:val="18"/>
                <w:lang w:val="sk-SK"/>
              </w:rPr>
              <w:t>Zmluvné podmienky</w:t>
            </w:r>
          </w:p>
          <w:p w:rsidR="008727FA" w:rsidRPr="00902555" w:rsidRDefault="008727FA" w:rsidP="006269C7">
            <w:pPr>
              <w:keepLines/>
              <w:widowControl/>
              <w:tabs>
                <w:tab w:val="left" w:pos="540"/>
              </w:tabs>
              <w:autoSpaceDE/>
              <w:autoSpaceDN/>
              <w:spacing w:line="276" w:lineRule="auto"/>
              <w:ind w:left="386"/>
              <w:jc w:val="both"/>
              <w:rPr>
                <w:rFonts w:eastAsia="Calibri"/>
                <w:b/>
                <w:sz w:val="18"/>
                <w:szCs w:val="18"/>
                <w:lang w:val="sk-SK"/>
              </w:rPr>
            </w:pPr>
          </w:p>
          <w:p w:rsidR="008727FA" w:rsidRPr="00902555" w:rsidRDefault="008727FA" w:rsidP="008727FA">
            <w:pPr>
              <w:widowControl/>
              <w:numPr>
                <w:ilvl w:val="1"/>
                <w:numId w:val="1"/>
              </w:numPr>
              <w:autoSpaceDE/>
              <w:autoSpaceDN/>
              <w:spacing w:after="200" w:line="276" w:lineRule="auto"/>
              <w:ind w:left="1165" w:hanging="567"/>
              <w:contextualSpacing/>
              <w:jc w:val="both"/>
              <w:rPr>
                <w:rFonts w:eastAsia="Calibri"/>
                <w:sz w:val="18"/>
                <w:szCs w:val="18"/>
                <w:lang w:val="cs-CZ"/>
              </w:rPr>
            </w:pPr>
            <w:r w:rsidRPr="00902555">
              <w:rPr>
                <w:rFonts w:eastAsia="Calibri"/>
                <w:sz w:val="18"/>
                <w:szCs w:val="18"/>
                <w:lang w:val="sk-SK"/>
              </w:rPr>
              <w:t xml:space="preserve">V ostatných aspektoch podmienok užívania Softvéru sa táto Objednávka na softvér riadi Všeobecnými obchodnými podmienkami SAP verzie 8-2014 (ďalej iba </w:t>
            </w:r>
            <w:r w:rsidRPr="00902555">
              <w:rPr>
                <w:rFonts w:eastAsia="Calibri"/>
                <w:b/>
                <w:bCs/>
                <w:sz w:val="18"/>
                <w:szCs w:val="18"/>
                <w:lang w:val="sk-SK"/>
              </w:rPr>
              <w:t>„VOP“</w:t>
            </w:r>
            <w:r w:rsidRPr="00902555">
              <w:rPr>
                <w:rFonts w:eastAsia="Calibri"/>
                <w:sz w:val="18"/>
                <w:szCs w:val="18"/>
                <w:lang w:val="sk-SK"/>
              </w:rPr>
              <w:t>) vzťahujúcimi sa na licenciu na štandardný softvér a súvisiacu podporu a tiež Podmienkami používania a príslušným Popisom Služieb podpory. Tieto dokumenty tvoria prílohu Rámcovej dohody. V prípade rozporu medzi ustanoveniami jednotlivých súčastí tejto Objednávky na softvér bude platiť nasledujúce poradie: (i) táto Objednávka na softvér, (ii) Licenčné podmienky (iii) príslušný Popis.</w:t>
            </w:r>
            <w:r w:rsidRPr="00902555">
              <w:rPr>
                <w:rFonts w:eastAsia="Calibri"/>
                <w:sz w:val="18"/>
                <w:szCs w:val="18"/>
                <w:lang w:val="cs-CZ"/>
              </w:rPr>
              <w:t xml:space="preserve"> </w:t>
            </w:r>
          </w:p>
          <w:p w:rsidR="008727FA" w:rsidRPr="00902555" w:rsidRDefault="008727FA" w:rsidP="006269C7">
            <w:pPr>
              <w:keepLines/>
              <w:widowControl/>
              <w:autoSpaceDE/>
              <w:autoSpaceDN/>
              <w:spacing w:line="276" w:lineRule="auto"/>
              <w:jc w:val="both"/>
              <w:rPr>
                <w:rFonts w:eastAsia="Calibri"/>
                <w:sz w:val="18"/>
                <w:szCs w:val="18"/>
                <w:lang w:val="sk-SK"/>
              </w:rPr>
            </w:pPr>
          </w:p>
          <w:p w:rsidR="008727FA" w:rsidRPr="00902555" w:rsidRDefault="008727FA" w:rsidP="008727FA">
            <w:pPr>
              <w:widowControl/>
              <w:numPr>
                <w:ilvl w:val="1"/>
                <w:numId w:val="1"/>
              </w:numPr>
              <w:autoSpaceDE/>
              <w:autoSpaceDN/>
              <w:spacing w:after="200" w:line="276" w:lineRule="auto"/>
              <w:ind w:left="1165" w:hanging="567"/>
              <w:contextualSpacing/>
              <w:jc w:val="both"/>
              <w:rPr>
                <w:rFonts w:eastAsia="Calibri"/>
                <w:sz w:val="18"/>
                <w:szCs w:val="18"/>
                <w:lang w:val="sk-SK"/>
              </w:rPr>
            </w:pPr>
            <w:r w:rsidRPr="00902555">
              <w:rPr>
                <w:rFonts w:eastAsia="Calibri"/>
                <w:sz w:val="18"/>
                <w:szCs w:val="18"/>
                <w:lang w:val="sk-SK"/>
              </w:rPr>
              <w:t>Objednávka na softvér nadobúda účinnosť dňom jej akceptácie Dodávateľom, s výnimkou ustanovení, kde Objednávka na softvér stanovuje neskorší deň nadobudnutia účinnosti (t.j. Deň účinnosti poskytovania Služieb podpory). Služby podpory (k Softvéru) sa budú poskytovať na dobu určitú, a </w:t>
            </w:r>
            <w:r w:rsidRPr="00902555">
              <w:rPr>
                <w:rFonts w:eastAsia="Calibri"/>
                <w:bCs/>
                <w:sz w:val="18"/>
                <w:szCs w:val="18"/>
                <w:lang w:val="sk-SK"/>
              </w:rPr>
              <w:t xml:space="preserve">po dobu trvania Služieb podpory iniciačne objednaných oprávnenými subjektmi podľa bodu 2.2. Rámcovej dohody, t.j. do </w:t>
            </w:r>
            <w:r w:rsidRPr="00902555">
              <w:rPr>
                <w:rFonts w:eastAsia="Calibri"/>
                <w:sz w:val="18"/>
                <w:szCs w:val="18"/>
                <w:lang w:val="sk-SK"/>
              </w:rPr>
              <w:t>[</w:t>
            </w:r>
            <w:r w:rsidRPr="00902555">
              <w:rPr>
                <w:rFonts w:ascii="MS Gothic" w:eastAsia="MS Gothic" w:hAnsi="MS Gothic" w:cs="MS Gothic"/>
                <w:sz w:val="18"/>
                <w:szCs w:val="18"/>
                <w:lang w:val="sk-SK"/>
              </w:rPr>
              <w:t>‧</w:t>
            </w:r>
            <w:r w:rsidRPr="00902555">
              <w:rPr>
                <w:rFonts w:eastAsia="Calibri"/>
                <w:sz w:val="18"/>
                <w:szCs w:val="18"/>
                <w:lang w:val="sk-SK"/>
              </w:rPr>
              <w:t xml:space="preserve">]. </w:t>
            </w:r>
            <w:r w:rsidRPr="00902555">
              <w:rPr>
                <w:rFonts w:eastAsia="Calibri"/>
                <w:bCs/>
                <w:sz w:val="18"/>
                <w:szCs w:val="18"/>
                <w:lang w:val="sk-SK"/>
              </w:rPr>
              <w:t>Po uplynutí tejto doby nebude Dodávateľ povinný poskytovať Služby podpory.</w:t>
            </w:r>
          </w:p>
          <w:p w:rsidR="008727FA" w:rsidRPr="00902555" w:rsidRDefault="008727FA" w:rsidP="006269C7">
            <w:pPr>
              <w:widowControl/>
              <w:autoSpaceDE/>
              <w:autoSpaceDN/>
              <w:ind w:left="1165"/>
              <w:contextualSpacing/>
              <w:jc w:val="both"/>
              <w:rPr>
                <w:rFonts w:eastAsia="Calibri"/>
                <w:sz w:val="18"/>
                <w:szCs w:val="18"/>
                <w:lang w:val="sk-SK"/>
              </w:rPr>
            </w:pPr>
          </w:p>
        </w:tc>
      </w:tr>
    </w:tbl>
    <w:p w:rsidR="008727FA" w:rsidRPr="00902555" w:rsidRDefault="008727FA" w:rsidP="008727FA">
      <w:pPr>
        <w:widowControl/>
        <w:autoSpaceDE/>
        <w:autoSpaceDN/>
        <w:spacing w:after="200" w:line="276" w:lineRule="auto"/>
        <w:rPr>
          <w:rFonts w:eastAsia="Calibri"/>
          <w:lang w:val="cs-CZ"/>
        </w:rPr>
      </w:pPr>
    </w:p>
    <w:p w:rsidR="008727FA" w:rsidRPr="00902555" w:rsidRDefault="008727FA" w:rsidP="008727FA">
      <w:pPr>
        <w:widowControl/>
        <w:autoSpaceDE/>
        <w:autoSpaceDN/>
        <w:rPr>
          <w:rFonts w:eastAsia="Calibri"/>
          <w:sz w:val="20"/>
          <w:szCs w:val="20"/>
          <w:lang w:val="cs-CZ"/>
        </w:rPr>
      </w:pPr>
      <w:proofErr w:type="spellStart"/>
      <w:r w:rsidRPr="00902555">
        <w:rPr>
          <w:rFonts w:eastAsia="Calibri"/>
          <w:sz w:val="20"/>
          <w:szCs w:val="20"/>
          <w:lang w:val="cs-CZ"/>
        </w:rPr>
        <w:t>Príloha</w:t>
      </w:r>
      <w:proofErr w:type="spellEnd"/>
      <w:r w:rsidRPr="00902555">
        <w:rPr>
          <w:rFonts w:eastAsia="Calibri"/>
          <w:sz w:val="20"/>
          <w:szCs w:val="20"/>
          <w:lang w:val="cs-CZ"/>
        </w:rPr>
        <w:t xml:space="preserve"> č. 1 Objednávky na </w:t>
      </w:r>
      <w:proofErr w:type="spellStart"/>
      <w:r w:rsidRPr="00902555">
        <w:rPr>
          <w:rFonts w:eastAsia="Calibri"/>
          <w:sz w:val="20"/>
          <w:szCs w:val="20"/>
          <w:lang w:val="cs-CZ"/>
        </w:rPr>
        <w:t>softvér</w:t>
      </w:r>
      <w:proofErr w:type="spellEnd"/>
    </w:p>
    <w:p w:rsidR="008727FA" w:rsidRPr="00902555" w:rsidRDefault="008727FA" w:rsidP="008727FA">
      <w:pPr>
        <w:widowControl/>
        <w:autoSpaceDE/>
        <w:autoSpaceDN/>
        <w:rPr>
          <w:rFonts w:eastAsia="Calibri"/>
          <w:sz w:val="20"/>
          <w:szCs w:val="20"/>
          <w:lang w:val="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1921"/>
        <w:gridCol w:w="528"/>
        <w:gridCol w:w="588"/>
        <w:gridCol w:w="741"/>
        <w:gridCol w:w="1426"/>
        <w:gridCol w:w="1070"/>
        <w:gridCol w:w="1186"/>
        <w:gridCol w:w="1182"/>
      </w:tblGrid>
      <w:tr w:rsidR="008727FA" w:rsidRPr="00902555" w:rsidTr="006269C7">
        <w:trPr>
          <w:cantSplit/>
          <w:tblHeader/>
        </w:trPr>
        <w:tc>
          <w:tcPr>
            <w:tcW w:w="1360" w:type="pct"/>
            <w:gridSpan w:val="2"/>
            <w:tcBorders>
              <w:top w:val="single" w:sz="4" w:space="0" w:color="auto"/>
              <w:left w:val="single" w:sz="4" w:space="0" w:color="auto"/>
              <w:bottom w:val="single" w:sz="4" w:space="0" w:color="auto"/>
              <w:right w:val="single" w:sz="4" w:space="0" w:color="auto"/>
            </w:tcBorders>
            <w:shd w:val="clear" w:color="auto" w:fill="00B0F0"/>
            <w:hideMark/>
          </w:tcPr>
          <w:p w:rsidR="008727FA" w:rsidRPr="00902555" w:rsidRDefault="008727FA" w:rsidP="006269C7">
            <w:pPr>
              <w:widowControl/>
              <w:adjustRightInd w:val="0"/>
              <w:spacing w:after="200" w:line="276" w:lineRule="auto"/>
              <w:rPr>
                <w:rFonts w:eastAsia="MS Mincho"/>
                <w:sz w:val="16"/>
                <w:szCs w:val="16"/>
                <w:lang w:val="cs-CZ"/>
              </w:rPr>
            </w:pPr>
            <w:r w:rsidRPr="00902555">
              <w:rPr>
                <w:rFonts w:eastAsia="MS Mincho"/>
                <w:b/>
                <w:sz w:val="16"/>
                <w:szCs w:val="16"/>
                <w:lang w:val="cs-CZ"/>
              </w:rPr>
              <w:t>Produkt/</w:t>
            </w:r>
            <w:proofErr w:type="spellStart"/>
            <w:r w:rsidRPr="00902555">
              <w:rPr>
                <w:rFonts w:eastAsia="MS Mincho"/>
                <w:b/>
                <w:sz w:val="16"/>
                <w:szCs w:val="16"/>
                <w:lang w:val="cs-CZ"/>
              </w:rPr>
              <w:t>Product</w:t>
            </w:r>
            <w:proofErr w:type="spellEnd"/>
          </w:p>
        </w:tc>
        <w:tc>
          <w:tcPr>
            <w:tcW w:w="305" w:type="pct"/>
            <w:tcBorders>
              <w:top w:val="single" w:sz="4" w:space="0" w:color="auto"/>
              <w:left w:val="single" w:sz="4" w:space="0" w:color="auto"/>
              <w:bottom w:val="single" w:sz="4" w:space="0" w:color="auto"/>
              <w:right w:val="single" w:sz="4" w:space="0" w:color="auto"/>
            </w:tcBorders>
            <w:shd w:val="clear" w:color="auto" w:fill="00B0F0"/>
            <w:hideMark/>
          </w:tcPr>
          <w:p w:rsidR="008727FA" w:rsidRPr="00902555" w:rsidRDefault="008727FA" w:rsidP="006269C7">
            <w:pPr>
              <w:widowControl/>
              <w:adjustRightInd w:val="0"/>
              <w:spacing w:after="200" w:line="276" w:lineRule="auto"/>
              <w:rPr>
                <w:rFonts w:eastAsia="MS Mincho"/>
                <w:b/>
                <w:bCs/>
                <w:sz w:val="16"/>
                <w:szCs w:val="16"/>
                <w:lang w:val="cs-CZ"/>
              </w:rPr>
            </w:pPr>
            <w:r w:rsidRPr="00902555">
              <w:rPr>
                <w:rFonts w:eastAsia="Calibri"/>
                <w:b/>
                <w:bCs/>
                <w:sz w:val="16"/>
                <w:szCs w:val="16"/>
                <w:lang w:val="cs-CZ"/>
              </w:rPr>
              <w:t>TPP</w:t>
            </w:r>
          </w:p>
        </w:tc>
        <w:tc>
          <w:tcPr>
            <w:tcW w:w="379" w:type="pct"/>
            <w:tcBorders>
              <w:top w:val="single" w:sz="4" w:space="0" w:color="auto"/>
              <w:left w:val="single" w:sz="4" w:space="0" w:color="auto"/>
              <w:bottom w:val="single" w:sz="4" w:space="0" w:color="auto"/>
              <w:right w:val="single" w:sz="4" w:space="0" w:color="auto"/>
            </w:tcBorders>
            <w:shd w:val="clear" w:color="auto" w:fill="00B0F0"/>
            <w:hideMark/>
          </w:tcPr>
          <w:p w:rsidR="008727FA" w:rsidRPr="00902555" w:rsidRDefault="008727FA" w:rsidP="006269C7">
            <w:pPr>
              <w:widowControl/>
              <w:adjustRightInd w:val="0"/>
              <w:spacing w:after="200" w:line="276" w:lineRule="auto"/>
              <w:rPr>
                <w:rFonts w:eastAsia="MS Mincho"/>
                <w:b/>
                <w:bCs/>
                <w:sz w:val="16"/>
                <w:szCs w:val="16"/>
                <w:lang w:val="cs-CZ"/>
              </w:rPr>
            </w:pPr>
            <w:r w:rsidRPr="00902555">
              <w:rPr>
                <w:rFonts w:eastAsia="Calibri"/>
                <w:b/>
                <w:bCs/>
                <w:sz w:val="16"/>
                <w:szCs w:val="16"/>
                <w:lang w:val="cs-CZ"/>
              </w:rPr>
              <w:t>SAV</w:t>
            </w:r>
          </w:p>
        </w:tc>
        <w:tc>
          <w:tcPr>
            <w:tcW w:w="443" w:type="pct"/>
            <w:tcBorders>
              <w:top w:val="single" w:sz="4" w:space="0" w:color="auto"/>
              <w:left w:val="single" w:sz="4" w:space="0" w:color="auto"/>
              <w:bottom w:val="single" w:sz="4" w:space="0" w:color="auto"/>
              <w:right w:val="single" w:sz="4" w:space="0" w:color="auto"/>
            </w:tcBorders>
            <w:shd w:val="clear" w:color="auto" w:fill="00B0F0"/>
            <w:hideMark/>
          </w:tcPr>
          <w:p w:rsidR="008727FA" w:rsidRPr="00902555" w:rsidRDefault="008727FA" w:rsidP="006269C7">
            <w:pPr>
              <w:widowControl/>
              <w:adjustRightInd w:val="0"/>
              <w:spacing w:after="200" w:line="276" w:lineRule="auto"/>
              <w:rPr>
                <w:rFonts w:eastAsia="MS Mincho"/>
                <w:b/>
                <w:bCs/>
                <w:sz w:val="16"/>
                <w:szCs w:val="16"/>
                <w:lang w:val="cs-CZ"/>
              </w:rPr>
            </w:pPr>
            <w:r w:rsidRPr="00902555">
              <w:rPr>
                <w:rFonts w:eastAsia="Calibri"/>
                <w:b/>
                <w:bCs/>
                <w:sz w:val="16"/>
                <w:szCs w:val="16"/>
                <w:lang w:val="cs-CZ"/>
              </w:rPr>
              <w:t>HSAV</w:t>
            </w:r>
          </w:p>
        </w:tc>
        <w:tc>
          <w:tcPr>
            <w:tcW w:w="568" w:type="pct"/>
            <w:tcBorders>
              <w:top w:val="single" w:sz="4" w:space="0" w:color="auto"/>
              <w:left w:val="single" w:sz="4" w:space="0" w:color="auto"/>
              <w:bottom w:val="single" w:sz="4" w:space="0" w:color="auto"/>
              <w:right w:val="single" w:sz="4" w:space="0" w:color="auto"/>
            </w:tcBorders>
            <w:shd w:val="clear" w:color="auto" w:fill="00B0F0"/>
            <w:hideMark/>
          </w:tcPr>
          <w:p w:rsidR="008727FA" w:rsidRPr="00902555" w:rsidRDefault="008727FA" w:rsidP="006269C7">
            <w:pPr>
              <w:widowControl/>
              <w:adjustRightInd w:val="0"/>
              <w:spacing w:after="200" w:line="276" w:lineRule="auto"/>
              <w:rPr>
                <w:rFonts w:eastAsia="MS Mincho"/>
                <w:b/>
                <w:sz w:val="16"/>
                <w:szCs w:val="16"/>
                <w:lang w:val="cs-CZ"/>
              </w:rPr>
            </w:pPr>
            <w:proofErr w:type="spellStart"/>
            <w:r w:rsidRPr="00902555">
              <w:rPr>
                <w:rFonts w:eastAsia="MS Mincho"/>
                <w:b/>
                <w:sz w:val="16"/>
                <w:szCs w:val="16"/>
                <w:lang w:val="cs-CZ"/>
              </w:rPr>
              <w:t>Licenčná</w:t>
            </w:r>
            <w:proofErr w:type="spellEnd"/>
            <w:r w:rsidRPr="00902555">
              <w:rPr>
                <w:rFonts w:eastAsia="MS Mincho"/>
                <w:b/>
                <w:sz w:val="16"/>
                <w:szCs w:val="16"/>
                <w:lang w:val="cs-CZ"/>
              </w:rPr>
              <w:t xml:space="preserve"> metrika/</w:t>
            </w:r>
            <w:proofErr w:type="spellStart"/>
            <w:r w:rsidRPr="00902555">
              <w:rPr>
                <w:rFonts w:eastAsia="MS Mincho"/>
                <w:b/>
                <w:sz w:val="16"/>
                <w:szCs w:val="16"/>
                <w:lang w:val="cs-CZ"/>
              </w:rPr>
              <w:t>License</w:t>
            </w:r>
            <w:proofErr w:type="spellEnd"/>
            <w:r w:rsidRPr="00902555">
              <w:rPr>
                <w:rFonts w:eastAsia="MS Mincho"/>
                <w:b/>
                <w:sz w:val="16"/>
                <w:szCs w:val="16"/>
                <w:lang w:val="cs-CZ"/>
              </w:rPr>
              <w:t xml:space="preserve"> </w:t>
            </w:r>
            <w:proofErr w:type="spellStart"/>
            <w:r w:rsidRPr="00902555">
              <w:rPr>
                <w:rFonts w:eastAsia="MS Mincho"/>
                <w:b/>
                <w:sz w:val="16"/>
                <w:szCs w:val="16"/>
                <w:lang w:val="cs-CZ"/>
              </w:rPr>
              <w:t>Metric</w:t>
            </w:r>
            <w:proofErr w:type="spellEnd"/>
          </w:p>
        </w:tc>
        <w:tc>
          <w:tcPr>
            <w:tcW w:w="571" w:type="pct"/>
            <w:tcBorders>
              <w:top w:val="single" w:sz="4" w:space="0" w:color="auto"/>
              <w:left w:val="single" w:sz="4" w:space="0" w:color="auto"/>
              <w:bottom w:val="single" w:sz="4" w:space="0" w:color="auto"/>
              <w:right w:val="single" w:sz="4" w:space="0" w:color="auto"/>
            </w:tcBorders>
            <w:shd w:val="clear" w:color="auto" w:fill="00B0F0"/>
            <w:hideMark/>
          </w:tcPr>
          <w:p w:rsidR="008727FA" w:rsidRPr="00902555" w:rsidRDefault="008727FA" w:rsidP="006269C7">
            <w:pPr>
              <w:widowControl/>
              <w:adjustRightInd w:val="0"/>
              <w:spacing w:after="200" w:line="276" w:lineRule="auto"/>
              <w:rPr>
                <w:rFonts w:eastAsia="MS Mincho"/>
                <w:b/>
                <w:sz w:val="16"/>
                <w:szCs w:val="16"/>
                <w:lang w:val="cs-CZ"/>
              </w:rPr>
            </w:pPr>
            <w:r w:rsidRPr="00902555">
              <w:rPr>
                <w:rFonts w:eastAsia="MS Mincho"/>
                <w:b/>
                <w:sz w:val="16"/>
                <w:szCs w:val="16"/>
                <w:lang w:val="cs-CZ"/>
              </w:rPr>
              <w:t>Bloky (</w:t>
            </w:r>
            <w:proofErr w:type="spellStart"/>
            <w:r w:rsidRPr="00902555">
              <w:rPr>
                <w:rFonts w:eastAsia="MS Mincho"/>
                <w:b/>
                <w:sz w:val="16"/>
                <w:szCs w:val="16"/>
                <w:lang w:val="cs-CZ"/>
              </w:rPr>
              <w:t>jednotiek</w:t>
            </w:r>
            <w:proofErr w:type="spellEnd"/>
            <w:r w:rsidRPr="00902555">
              <w:rPr>
                <w:rFonts w:eastAsia="MS Mincho"/>
                <w:b/>
                <w:sz w:val="16"/>
                <w:szCs w:val="16"/>
                <w:lang w:val="cs-CZ"/>
              </w:rPr>
              <w:t>)/</w:t>
            </w:r>
          </w:p>
          <w:p w:rsidR="008727FA" w:rsidRPr="00902555" w:rsidRDefault="008727FA" w:rsidP="006269C7">
            <w:pPr>
              <w:widowControl/>
              <w:adjustRightInd w:val="0"/>
              <w:spacing w:after="200" w:line="276" w:lineRule="auto"/>
              <w:rPr>
                <w:rFonts w:eastAsia="MS Mincho"/>
                <w:b/>
                <w:sz w:val="16"/>
                <w:szCs w:val="16"/>
                <w:lang w:val="cs-CZ"/>
              </w:rPr>
            </w:pPr>
            <w:proofErr w:type="spellStart"/>
            <w:r w:rsidRPr="00902555">
              <w:rPr>
                <w:rFonts w:eastAsia="MS Mincho"/>
                <w:b/>
                <w:sz w:val="16"/>
                <w:szCs w:val="16"/>
                <w:lang w:val="cs-CZ"/>
              </w:rPr>
              <w:t>Blocks</w:t>
            </w:r>
            <w:proofErr w:type="spellEnd"/>
            <w:r w:rsidRPr="00902555">
              <w:rPr>
                <w:rFonts w:eastAsia="MS Mincho"/>
                <w:b/>
                <w:sz w:val="16"/>
                <w:szCs w:val="16"/>
                <w:lang w:val="cs-CZ"/>
              </w:rPr>
              <w:t xml:space="preserve"> </w:t>
            </w:r>
            <w:proofErr w:type="spellStart"/>
            <w:r w:rsidRPr="00902555">
              <w:rPr>
                <w:rFonts w:eastAsia="MS Mincho"/>
                <w:b/>
                <w:sz w:val="16"/>
                <w:szCs w:val="16"/>
                <w:lang w:val="cs-CZ"/>
              </w:rPr>
              <w:t>of</w:t>
            </w:r>
            <w:proofErr w:type="spellEnd"/>
            <w:r w:rsidRPr="00902555">
              <w:rPr>
                <w:rFonts w:eastAsia="MS Mincho"/>
                <w:b/>
                <w:sz w:val="16"/>
                <w:szCs w:val="16"/>
                <w:lang w:val="cs-CZ"/>
              </w:rPr>
              <w:t xml:space="preserve"> (</w:t>
            </w:r>
            <w:proofErr w:type="spellStart"/>
            <w:r w:rsidRPr="00902555">
              <w:rPr>
                <w:rFonts w:eastAsia="MS Mincho"/>
                <w:b/>
                <w:sz w:val="16"/>
                <w:szCs w:val="16"/>
                <w:lang w:val="cs-CZ"/>
              </w:rPr>
              <w:t>units</w:t>
            </w:r>
            <w:proofErr w:type="spellEnd"/>
            <w:r w:rsidRPr="00902555">
              <w:rPr>
                <w:rFonts w:eastAsia="MS Mincho"/>
                <w:b/>
                <w:sz w:val="16"/>
                <w:szCs w:val="16"/>
                <w:lang w:val="cs-CZ"/>
              </w:rPr>
              <w:t>)</w:t>
            </w:r>
          </w:p>
        </w:tc>
        <w:tc>
          <w:tcPr>
            <w:tcW w:w="688" w:type="pct"/>
            <w:tcBorders>
              <w:top w:val="single" w:sz="4" w:space="0" w:color="auto"/>
              <w:left w:val="single" w:sz="4" w:space="0" w:color="auto"/>
              <w:bottom w:val="single" w:sz="4" w:space="0" w:color="auto"/>
              <w:right w:val="single" w:sz="4" w:space="0" w:color="auto"/>
            </w:tcBorders>
            <w:shd w:val="clear" w:color="auto" w:fill="00B0F0"/>
            <w:hideMark/>
          </w:tcPr>
          <w:p w:rsidR="008727FA" w:rsidRPr="00902555" w:rsidRDefault="008727FA" w:rsidP="006269C7">
            <w:pPr>
              <w:widowControl/>
              <w:adjustRightInd w:val="0"/>
              <w:spacing w:after="200" w:line="276" w:lineRule="auto"/>
              <w:rPr>
                <w:rFonts w:eastAsia="MS Mincho"/>
                <w:b/>
                <w:sz w:val="16"/>
                <w:szCs w:val="16"/>
                <w:lang w:val="cs-CZ"/>
              </w:rPr>
            </w:pPr>
            <w:r w:rsidRPr="00902555">
              <w:rPr>
                <w:rFonts w:eastAsia="MS Mincho"/>
                <w:b/>
                <w:sz w:val="16"/>
                <w:szCs w:val="16"/>
                <w:lang w:val="cs-CZ"/>
              </w:rPr>
              <w:t>Rozsah licencie/</w:t>
            </w:r>
          </w:p>
          <w:p w:rsidR="008727FA" w:rsidRPr="00902555" w:rsidRDefault="008727FA" w:rsidP="006269C7">
            <w:pPr>
              <w:widowControl/>
              <w:adjustRightInd w:val="0"/>
              <w:spacing w:after="200" w:line="276" w:lineRule="auto"/>
              <w:rPr>
                <w:rFonts w:eastAsia="MS Mincho"/>
                <w:b/>
                <w:sz w:val="16"/>
                <w:szCs w:val="16"/>
                <w:lang w:val="cs-CZ"/>
              </w:rPr>
            </w:pPr>
            <w:proofErr w:type="spellStart"/>
            <w:r w:rsidRPr="00902555">
              <w:rPr>
                <w:rFonts w:eastAsia="MS Mincho"/>
                <w:b/>
                <w:sz w:val="16"/>
                <w:szCs w:val="16"/>
                <w:lang w:val="cs-CZ"/>
              </w:rPr>
              <w:t>License</w:t>
            </w:r>
            <w:proofErr w:type="spellEnd"/>
            <w:r w:rsidRPr="00902555">
              <w:rPr>
                <w:rFonts w:eastAsia="MS Mincho"/>
                <w:b/>
                <w:sz w:val="16"/>
                <w:szCs w:val="16"/>
                <w:lang w:val="cs-CZ"/>
              </w:rPr>
              <w:t xml:space="preserve"> </w:t>
            </w:r>
            <w:proofErr w:type="spellStart"/>
            <w:r w:rsidRPr="00902555">
              <w:rPr>
                <w:rFonts w:eastAsia="MS Mincho"/>
                <w:b/>
                <w:sz w:val="16"/>
                <w:szCs w:val="16"/>
                <w:lang w:val="cs-CZ"/>
              </w:rPr>
              <w:t>Quantity</w:t>
            </w:r>
            <w:proofErr w:type="spellEnd"/>
          </w:p>
        </w:tc>
        <w:tc>
          <w:tcPr>
            <w:tcW w:w="686" w:type="pct"/>
            <w:tcBorders>
              <w:top w:val="single" w:sz="4" w:space="0" w:color="auto"/>
              <w:left w:val="single" w:sz="4" w:space="0" w:color="auto"/>
              <w:bottom w:val="single" w:sz="4" w:space="0" w:color="auto"/>
              <w:right w:val="single" w:sz="4" w:space="0" w:color="auto"/>
            </w:tcBorders>
            <w:shd w:val="clear" w:color="auto" w:fill="00B0F0"/>
            <w:hideMark/>
          </w:tcPr>
          <w:p w:rsidR="008727FA" w:rsidRPr="00902555" w:rsidRDefault="008727FA" w:rsidP="006269C7">
            <w:pPr>
              <w:widowControl/>
              <w:adjustRightInd w:val="0"/>
              <w:spacing w:after="200" w:line="276" w:lineRule="auto"/>
              <w:rPr>
                <w:rFonts w:eastAsia="MS Mincho"/>
                <w:sz w:val="16"/>
                <w:szCs w:val="16"/>
                <w:lang w:val="cs-CZ"/>
              </w:rPr>
            </w:pPr>
            <w:proofErr w:type="spellStart"/>
            <w:r w:rsidRPr="00902555">
              <w:rPr>
                <w:rFonts w:eastAsia="MS Mincho"/>
                <w:b/>
                <w:sz w:val="16"/>
                <w:szCs w:val="16"/>
                <w:lang w:val="cs-CZ"/>
              </w:rPr>
              <w:t>Licenčný</w:t>
            </w:r>
            <w:proofErr w:type="spellEnd"/>
            <w:r w:rsidRPr="00902555">
              <w:rPr>
                <w:rFonts w:eastAsia="MS Mincho"/>
                <w:b/>
                <w:sz w:val="16"/>
                <w:szCs w:val="16"/>
                <w:lang w:val="cs-CZ"/>
              </w:rPr>
              <w:t xml:space="preserve"> </w:t>
            </w:r>
            <w:proofErr w:type="spellStart"/>
            <w:r w:rsidRPr="00902555">
              <w:rPr>
                <w:rFonts w:eastAsia="MS Mincho"/>
                <w:b/>
                <w:sz w:val="16"/>
                <w:szCs w:val="16"/>
                <w:lang w:val="cs-CZ"/>
              </w:rPr>
              <w:t>poplatok</w:t>
            </w:r>
            <w:proofErr w:type="spellEnd"/>
            <w:r w:rsidRPr="00902555">
              <w:rPr>
                <w:rFonts w:eastAsia="MS Mincho"/>
                <w:b/>
                <w:sz w:val="16"/>
                <w:szCs w:val="16"/>
                <w:lang w:val="cs-CZ"/>
              </w:rPr>
              <w:t xml:space="preserve"> netto/Net </w:t>
            </w:r>
            <w:proofErr w:type="spellStart"/>
            <w:r w:rsidRPr="00902555">
              <w:rPr>
                <w:rFonts w:eastAsia="MS Mincho"/>
                <w:b/>
                <w:sz w:val="16"/>
                <w:szCs w:val="16"/>
                <w:lang w:val="cs-CZ"/>
              </w:rPr>
              <w:t>License</w:t>
            </w:r>
            <w:proofErr w:type="spellEnd"/>
            <w:r w:rsidRPr="00902555">
              <w:rPr>
                <w:rFonts w:eastAsia="MS Mincho"/>
                <w:b/>
                <w:sz w:val="16"/>
                <w:szCs w:val="16"/>
                <w:lang w:val="cs-CZ"/>
              </w:rPr>
              <w:t xml:space="preserve"> </w:t>
            </w:r>
            <w:proofErr w:type="spellStart"/>
            <w:r w:rsidRPr="00902555">
              <w:rPr>
                <w:rFonts w:eastAsia="MS Mincho"/>
                <w:b/>
                <w:sz w:val="16"/>
                <w:szCs w:val="16"/>
                <w:lang w:val="cs-CZ"/>
              </w:rPr>
              <w:t>Fee</w:t>
            </w:r>
            <w:proofErr w:type="spellEnd"/>
          </w:p>
        </w:tc>
      </w:tr>
      <w:tr w:rsidR="008727FA" w:rsidRPr="00902555" w:rsidTr="006269C7">
        <w:tc>
          <w:tcPr>
            <w:tcW w:w="1360" w:type="pct"/>
            <w:gridSpan w:val="2"/>
            <w:tcBorders>
              <w:top w:val="single" w:sz="4" w:space="0" w:color="auto"/>
              <w:left w:val="single" w:sz="4" w:space="0" w:color="auto"/>
              <w:bottom w:val="single" w:sz="4" w:space="0" w:color="auto"/>
              <w:right w:val="single" w:sz="4" w:space="0" w:color="auto"/>
            </w:tcBorders>
          </w:tcPr>
          <w:p w:rsidR="008727FA" w:rsidRPr="00902555" w:rsidRDefault="008727FA" w:rsidP="006269C7">
            <w:pPr>
              <w:widowControl/>
              <w:adjustRightInd w:val="0"/>
              <w:spacing w:after="200" w:line="276" w:lineRule="auto"/>
              <w:rPr>
                <w:rFonts w:eastAsia="MS Mincho"/>
                <w:sz w:val="16"/>
                <w:szCs w:val="16"/>
                <w:lang w:val="cs-CZ"/>
              </w:rPr>
            </w:pPr>
          </w:p>
        </w:tc>
        <w:tc>
          <w:tcPr>
            <w:tcW w:w="305" w:type="pct"/>
            <w:tcBorders>
              <w:top w:val="single" w:sz="4" w:space="0" w:color="auto"/>
              <w:left w:val="single" w:sz="4" w:space="0" w:color="auto"/>
              <w:bottom w:val="single" w:sz="4" w:space="0" w:color="auto"/>
              <w:right w:val="single" w:sz="4" w:space="0" w:color="auto"/>
            </w:tcBorders>
          </w:tcPr>
          <w:p w:rsidR="008727FA" w:rsidRPr="00902555" w:rsidRDefault="008727FA" w:rsidP="006269C7">
            <w:pPr>
              <w:widowControl/>
              <w:adjustRightInd w:val="0"/>
              <w:spacing w:after="200" w:line="276" w:lineRule="auto"/>
              <w:rPr>
                <w:rFonts w:eastAsia="MS Mincho"/>
                <w:sz w:val="16"/>
                <w:szCs w:val="16"/>
                <w:lang w:val="cs-CZ"/>
              </w:rPr>
            </w:pPr>
          </w:p>
        </w:tc>
        <w:tc>
          <w:tcPr>
            <w:tcW w:w="379" w:type="pct"/>
            <w:tcBorders>
              <w:top w:val="single" w:sz="4" w:space="0" w:color="auto"/>
              <w:left w:val="single" w:sz="4" w:space="0" w:color="auto"/>
              <w:bottom w:val="single" w:sz="4" w:space="0" w:color="auto"/>
              <w:right w:val="single" w:sz="4" w:space="0" w:color="auto"/>
            </w:tcBorders>
          </w:tcPr>
          <w:p w:rsidR="008727FA" w:rsidRPr="00902555" w:rsidRDefault="008727FA" w:rsidP="006269C7">
            <w:pPr>
              <w:widowControl/>
              <w:adjustRightInd w:val="0"/>
              <w:spacing w:after="200" w:line="276" w:lineRule="auto"/>
              <w:jc w:val="right"/>
              <w:rPr>
                <w:rFonts w:eastAsia="MS Mincho"/>
                <w:sz w:val="16"/>
                <w:szCs w:val="16"/>
                <w:lang w:val="cs-CZ"/>
              </w:rPr>
            </w:pPr>
          </w:p>
        </w:tc>
        <w:tc>
          <w:tcPr>
            <w:tcW w:w="443" w:type="pct"/>
            <w:tcBorders>
              <w:top w:val="single" w:sz="4" w:space="0" w:color="auto"/>
              <w:left w:val="single" w:sz="4" w:space="0" w:color="auto"/>
              <w:bottom w:val="single" w:sz="4" w:space="0" w:color="auto"/>
              <w:right w:val="single" w:sz="4" w:space="0" w:color="auto"/>
            </w:tcBorders>
          </w:tcPr>
          <w:p w:rsidR="008727FA" w:rsidRPr="00902555" w:rsidRDefault="008727FA" w:rsidP="006269C7">
            <w:pPr>
              <w:widowControl/>
              <w:adjustRightInd w:val="0"/>
              <w:spacing w:after="200" w:line="276" w:lineRule="auto"/>
              <w:jc w:val="right"/>
              <w:rPr>
                <w:rFonts w:eastAsia="MS Mincho"/>
                <w:sz w:val="16"/>
                <w:szCs w:val="16"/>
                <w:lang w:val="cs-CZ"/>
              </w:rPr>
            </w:pPr>
          </w:p>
        </w:tc>
        <w:tc>
          <w:tcPr>
            <w:tcW w:w="568" w:type="pct"/>
            <w:tcBorders>
              <w:top w:val="single" w:sz="4" w:space="0" w:color="auto"/>
              <w:left w:val="single" w:sz="4" w:space="0" w:color="auto"/>
              <w:bottom w:val="single" w:sz="4" w:space="0" w:color="auto"/>
              <w:right w:val="single" w:sz="4" w:space="0" w:color="auto"/>
            </w:tcBorders>
          </w:tcPr>
          <w:p w:rsidR="008727FA" w:rsidRPr="00902555" w:rsidRDefault="008727FA" w:rsidP="006269C7">
            <w:pPr>
              <w:widowControl/>
              <w:adjustRightInd w:val="0"/>
              <w:spacing w:after="200" w:line="276" w:lineRule="auto"/>
              <w:jc w:val="right"/>
              <w:rPr>
                <w:rFonts w:eastAsia="MS Mincho"/>
                <w:sz w:val="16"/>
                <w:szCs w:val="16"/>
                <w:lang w:val="cs-CZ"/>
              </w:rPr>
            </w:pPr>
          </w:p>
        </w:tc>
        <w:tc>
          <w:tcPr>
            <w:tcW w:w="571" w:type="pct"/>
            <w:tcBorders>
              <w:top w:val="single" w:sz="4" w:space="0" w:color="auto"/>
              <w:left w:val="single" w:sz="4" w:space="0" w:color="auto"/>
              <w:bottom w:val="single" w:sz="4" w:space="0" w:color="auto"/>
              <w:right w:val="single" w:sz="4" w:space="0" w:color="auto"/>
            </w:tcBorders>
          </w:tcPr>
          <w:p w:rsidR="008727FA" w:rsidRPr="00902555" w:rsidRDefault="008727FA" w:rsidP="006269C7">
            <w:pPr>
              <w:widowControl/>
              <w:adjustRightInd w:val="0"/>
              <w:spacing w:after="200" w:line="276" w:lineRule="auto"/>
              <w:jc w:val="right"/>
              <w:rPr>
                <w:rFonts w:eastAsia="MS Mincho"/>
                <w:sz w:val="16"/>
                <w:szCs w:val="16"/>
                <w:lang w:val="cs-CZ"/>
              </w:rPr>
            </w:pPr>
          </w:p>
        </w:tc>
        <w:tc>
          <w:tcPr>
            <w:tcW w:w="688" w:type="pct"/>
            <w:tcBorders>
              <w:top w:val="single" w:sz="4" w:space="0" w:color="auto"/>
              <w:left w:val="single" w:sz="4" w:space="0" w:color="auto"/>
              <w:bottom w:val="single" w:sz="4" w:space="0" w:color="auto"/>
              <w:right w:val="single" w:sz="4" w:space="0" w:color="auto"/>
            </w:tcBorders>
          </w:tcPr>
          <w:p w:rsidR="008727FA" w:rsidRPr="00902555" w:rsidRDefault="008727FA" w:rsidP="006269C7">
            <w:pPr>
              <w:widowControl/>
              <w:adjustRightInd w:val="0"/>
              <w:spacing w:after="200" w:line="276" w:lineRule="auto"/>
              <w:jc w:val="right"/>
              <w:rPr>
                <w:rFonts w:eastAsia="MS Mincho"/>
                <w:sz w:val="16"/>
                <w:szCs w:val="16"/>
                <w:lang w:val="cs-CZ"/>
              </w:rPr>
            </w:pPr>
          </w:p>
        </w:tc>
        <w:tc>
          <w:tcPr>
            <w:tcW w:w="686" w:type="pct"/>
            <w:tcBorders>
              <w:top w:val="single" w:sz="4" w:space="0" w:color="auto"/>
              <w:left w:val="single" w:sz="4" w:space="0" w:color="auto"/>
              <w:bottom w:val="single" w:sz="4" w:space="0" w:color="auto"/>
              <w:right w:val="single" w:sz="4" w:space="0" w:color="auto"/>
            </w:tcBorders>
          </w:tcPr>
          <w:p w:rsidR="008727FA" w:rsidRPr="00902555" w:rsidRDefault="008727FA" w:rsidP="006269C7">
            <w:pPr>
              <w:widowControl/>
              <w:adjustRightInd w:val="0"/>
              <w:spacing w:after="200" w:line="276" w:lineRule="auto"/>
              <w:jc w:val="right"/>
              <w:rPr>
                <w:rFonts w:eastAsia="MS Mincho"/>
                <w:sz w:val="16"/>
                <w:szCs w:val="16"/>
                <w:lang w:val="cs-CZ"/>
              </w:rPr>
            </w:pPr>
          </w:p>
        </w:tc>
      </w:tr>
      <w:tr w:rsidR="008727FA" w:rsidRPr="00902555" w:rsidTr="006269C7">
        <w:tc>
          <w:tcPr>
            <w:tcW w:w="1360" w:type="pct"/>
            <w:gridSpan w:val="2"/>
            <w:tcBorders>
              <w:top w:val="single" w:sz="4" w:space="0" w:color="auto"/>
              <w:left w:val="single" w:sz="4" w:space="0" w:color="auto"/>
              <w:bottom w:val="single" w:sz="4" w:space="0" w:color="auto"/>
              <w:right w:val="single" w:sz="4" w:space="0" w:color="auto"/>
            </w:tcBorders>
          </w:tcPr>
          <w:p w:rsidR="008727FA" w:rsidRPr="00902555" w:rsidRDefault="008727FA" w:rsidP="006269C7">
            <w:pPr>
              <w:widowControl/>
              <w:adjustRightInd w:val="0"/>
              <w:spacing w:after="200" w:line="276" w:lineRule="auto"/>
              <w:rPr>
                <w:rFonts w:eastAsia="MS Mincho"/>
                <w:sz w:val="16"/>
                <w:szCs w:val="16"/>
                <w:lang w:val="cs-CZ"/>
              </w:rPr>
            </w:pPr>
          </w:p>
        </w:tc>
        <w:tc>
          <w:tcPr>
            <w:tcW w:w="305" w:type="pct"/>
            <w:tcBorders>
              <w:top w:val="single" w:sz="4" w:space="0" w:color="auto"/>
              <w:left w:val="single" w:sz="4" w:space="0" w:color="auto"/>
              <w:bottom w:val="single" w:sz="4" w:space="0" w:color="auto"/>
              <w:right w:val="single" w:sz="4" w:space="0" w:color="auto"/>
            </w:tcBorders>
          </w:tcPr>
          <w:p w:rsidR="008727FA" w:rsidRPr="00902555" w:rsidRDefault="008727FA" w:rsidP="006269C7">
            <w:pPr>
              <w:widowControl/>
              <w:adjustRightInd w:val="0"/>
              <w:spacing w:after="200" w:line="276" w:lineRule="auto"/>
              <w:rPr>
                <w:rFonts w:eastAsia="MS Mincho"/>
                <w:sz w:val="16"/>
                <w:szCs w:val="16"/>
                <w:lang w:val="cs-CZ"/>
              </w:rPr>
            </w:pPr>
          </w:p>
        </w:tc>
        <w:tc>
          <w:tcPr>
            <w:tcW w:w="379" w:type="pct"/>
            <w:tcBorders>
              <w:top w:val="single" w:sz="4" w:space="0" w:color="auto"/>
              <w:left w:val="single" w:sz="4" w:space="0" w:color="auto"/>
              <w:bottom w:val="single" w:sz="4" w:space="0" w:color="auto"/>
              <w:right w:val="single" w:sz="4" w:space="0" w:color="auto"/>
            </w:tcBorders>
          </w:tcPr>
          <w:p w:rsidR="008727FA" w:rsidRPr="00902555" w:rsidRDefault="008727FA" w:rsidP="006269C7">
            <w:pPr>
              <w:widowControl/>
              <w:adjustRightInd w:val="0"/>
              <w:spacing w:after="200" w:line="276" w:lineRule="auto"/>
              <w:jc w:val="right"/>
              <w:rPr>
                <w:rFonts w:eastAsia="MS Mincho"/>
                <w:sz w:val="16"/>
                <w:szCs w:val="16"/>
                <w:lang w:val="cs-CZ"/>
              </w:rPr>
            </w:pPr>
          </w:p>
        </w:tc>
        <w:tc>
          <w:tcPr>
            <w:tcW w:w="443" w:type="pct"/>
            <w:tcBorders>
              <w:top w:val="single" w:sz="4" w:space="0" w:color="auto"/>
              <w:left w:val="single" w:sz="4" w:space="0" w:color="auto"/>
              <w:bottom w:val="single" w:sz="4" w:space="0" w:color="auto"/>
              <w:right w:val="single" w:sz="4" w:space="0" w:color="auto"/>
            </w:tcBorders>
          </w:tcPr>
          <w:p w:rsidR="008727FA" w:rsidRPr="00902555" w:rsidRDefault="008727FA" w:rsidP="006269C7">
            <w:pPr>
              <w:widowControl/>
              <w:adjustRightInd w:val="0"/>
              <w:spacing w:after="200" w:line="276" w:lineRule="auto"/>
              <w:jc w:val="right"/>
              <w:rPr>
                <w:rFonts w:eastAsia="MS Mincho"/>
                <w:sz w:val="16"/>
                <w:szCs w:val="16"/>
                <w:lang w:val="cs-CZ"/>
              </w:rPr>
            </w:pPr>
          </w:p>
        </w:tc>
        <w:tc>
          <w:tcPr>
            <w:tcW w:w="568" w:type="pct"/>
            <w:tcBorders>
              <w:top w:val="single" w:sz="4" w:space="0" w:color="auto"/>
              <w:left w:val="single" w:sz="4" w:space="0" w:color="auto"/>
              <w:bottom w:val="single" w:sz="4" w:space="0" w:color="auto"/>
              <w:right w:val="single" w:sz="4" w:space="0" w:color="auto"/>
            </w:tcBorders>
          </w:tcPr>
          <w:p w:rsidR="008727FA" w:rsidRPr="00902555" w:rsidRDefault="008727FA" w:rsidP="006269C7">
            <w:pPr>
              <w:widowControl/>
              <w:adjustRightInd w:val="0"/>
              <w:spacing w:after="200" w:line="276" w:lineRule="auto"/>
              <w:jc w:val="right"/>
              <w:rPr>
                <w:rFonts w:eastAsia="MS Mincho"/>
                <w:sz w:val="16"/>
                <w:szCs w:val="16"/>
                <w:lang w:val="cs-CZ"/>
              </w:rPr>
            </w:pPr>
          </w:p>
        </w:tc>
        <w:tc>
          <w:tcPr>
            <w:tcW w:w="571" w:type="pct"/>
            <w:tcBorders>
              <w:top w:val="single" w:sz="4" w:space="0" w:color="auto"/>
              <w:left w:val="single" w:sz="4" w:space="0" w:color="auto"/>
              <w:bottom w:val="single" w:sz="4" w:space="0" w:color="auto"/>
              <w:right w:val="single" w:sz="4" w:space="0" w:color="auto"/>
            </w:tcBorders>
          </w:tcPr>
          <w:p w:rsidR="008727FA" w:rsidRPr="00902555" w:rsidRDefault="008727FA" w:rsidP="006269C7">
            <w:pPr>
              <w:widowControl/>
              <w:adjustRightInd w:val="0"/>
              <w:spacing w:after="200" w:line="276" w:lineRule="auto"/>
              <w:jc w:val="right"/>
              <w:rPr>
                <w:rFonts w:eastAsia="MS Mincho"/>
                <w:sz w:val="16"/>
                <w:szCs w:val="16"/>
                <w:lang w:val="cs-CZ"/>
              </w:rPr>
            </w:pPr>
          </w:p>
        </w:tc>
        <w:tc>
          <w:tcPr>
            <w:tcW w:w="688" w:type="pct"/>
            <w:tcBorders>
              <w:top w:val="single" w:sz="4" w:space="0" w:color="auto"/>
              <w:left w:val="single" w:sz="4" w:space="0" w:color="auto"/>
              <w:bottom w:val="single" w:sz="4" w:space="0" w:color="auto"/>
              <w:right w:val="single" w:sz="4" w:space="0" w:color="auto"/>
            </w:tcBorders>
          </w:tcPr>
          <w:p w:rsidR="008727FA" w:rsidRPr="00902555" w:rsidRDefault="008727FA" w:rsidP="006269C7">
            <w:pPr>
              <w:widowControl/>
              <w:adjustRightInd w:val="0"/>
              <w:spacing w:after="200" w:line="276" w:lineRule="auto"/>
              <w:jc w:val="right"/>
              <w:rPr>
                <w:rFonts w:eastAsia="MS Mincho"/>
                <w:sz w:val="16"/>
                <w:szCs w:val="16"/>
                <w:lang w:val="cs-CZ"/>
              </w:rPr>
            </w:pPr>
          </w:p>
        </w:tc>
        <w:tc>
          <w:tcPr>
            <w:tcW w:w="686" w:type="pct"/>
            <w:tcBorders>
              <w:top w:val="single" w:sz="4" w:space="0" w:color="auto"/>
              <w:left w:val="single" w:sz="4" w:space="0" w:color="auto"/>
              <w:bottom w:val="single" w:sz="4" w:space="0" w:color="auto"/>
              <w:right w:val="single" w:sz="4" w:space="0" w:color="auto"/>
            </w:tcBorders>
          </w:tcPr>
          <w:p w:rsidR="008727FA" w:rsidRPr="00902555" w:rsidRDefault="008727FA" w:rsidP="006269C7">
            <w:pPr>
              <w:widowControl/>
              <w:adjustRightInd w:val="0"/>
              <w:spacing w:after="200" w:line="276" w:lineRule="auto"/>
              <w:jc w:val="right"/>
              <w:rPr>
                <w:rFonts w:eastAsia="MS Mincho"/>
                <w:sz w:val="16"/>
                <w:szCs w:val="16"/>
                <w:lang w:val="cs-CZ"/>
              </w:rPr>
            </w:pPr>
          </w:p>
        </w:tc>
      </w:tr>
      <w:tr w:rsidR="008727FA" w:rsidRPr="00902555" w:rsidTr="006269C7">
        <w:tc>
          <w:tcPr>
            <w:tcW w:w="1360" w:type="pct"/>
            <w:gridSpan w:val="2"/>
            <w:tcBorders>
              <w:top w:val="single" w:sz="4" w:space="0" w:color="auto"/>
              <w:left w:val="single" w:sz="4" w:space="0" w:color="auto"/>
              <w:bottom w:val="single" w:sz="4" w:space="0" w:color="auto"/>
              <w:right w:val="single" w:sz="4" w:space="0" w:color="auto"/>
            </w:tcBorders>
          </w:tcPr>
          <w:p w:rsidR="008727FA" w:rsidRPr="00902555" w:rsidRDefault="008727FA" w:rsidP="006269C7">
            <w:pPr>
              <w:widowControl/>
              <w:adjustRightInd w:val="0"/>
              <w:spacing w:after="200" w:line="276" w:lineRule="auto"/>
              <w:rPr>
                <w:rFonts w:eastAsia="MS Mincho"/>
                <w:sz w:val="16"/>
                <w:szCs w:val="16"/>
                <w:lang w:val="cs-CZ"/>
              </w:rPr>
            </w:pPr>
          </w:p>
        </w:tc>
        <w:tc>
          <w:tcPr>
            <w:tcW w:w="305" w:type="pct"/>
            <w:tcBorders>
              <w:top w:val="single" w:sz="4" w:space="0" w:color="auto"/>
              <w:left w:val="single" w:sz="4" w:space="0" w:color="auto"/>
              <w:bottom w:val="single" w:sz="4" w:space="0" w:color="auto"/>
              <w:right w:val="single" w:sz="4" w:space="0" w:color="auto"/>
            </w:tcBorders>
          </w:tcPr>
          <w:p w:rsidR="008727FA" w:rsidRPr="00902555" w:rsidRDefault="008727FA" w:rsidP="006269C7">
            <w:pPr>
              <w:widowControl/>
              <w:adjustRightInd w:val="0"/>
              <w:spacing w:after="200" w:line="276" w:lineRule="auto"/>
              <w:rPr>
                <w:rFonts w:eastAsia="MS Mincho"/>
                <w:sz w:val="16"/>
                <w:szCs w:val="16"/>
                <w:lang w:val="cs-CZ"/>
              </w:rPr>
            </w:pPr>
          </w:p>
        </w:tc>
        <w:tc>
          <w:tcPr>
            <w:tcW w:w="379" w:type="pct"/>
            <w:tcBorders>
              <w:top w:val="single" w:sz="4" w:space="0" w:color="auto"/>
              <w:left w:val="single" w:sz="4" w:space="0" w:color="auto"/>
              <w:bottom w:val="single" w:sz="4" w:space="0" w:color="auto"/>
              <w:right w:val="single" w:sz="4" w:space="0" w:color="auto"/>
            </w:tcBorders>
          </w:tcPr>
          <w:p w:rsidR="008727FA" w:rsidRPr="00902555" w:rsidRDefault="008727FA" w:rsidP="006269C7">
            <w:pPr>
              <w:widowControl/>
              <w:adjustRightInd w:val="0"/>
              <w:spacing w:after="200" w:line="276" w:lineRule="auto"/>
              <w:jc w:val="right"/>
              <w:rPr>
                <w:rFonts w:eastAsia="MS Mincho"/>
                <w:sz w:val="16"/>
                <w:szCs w:val="16"/>
                <w:lang w:val="cs-CZ"/>
              </w:rPr>
            </w:pPr>
          </w:p>
        </w:tc>
        <w:tc>
          <w:tcPr>
            <w:tcW w:w="443" w:type="pct"/>
            <w:tcBorders>
              <w:top w:val="single" w:sz="4" w:space="0" w:color="auto"/>
              <w:left w:val="single" w:sz="4" w:space="0" w:color="auto"/>
              <w:bottom w:val="single" w:sz="4" w:space="0" w:color="auto"/>
              <w:right w:val="single" w:sz="4" w:space="0" w:color="auto"/>
            </w:tcBorders>
          </w:tcPr>
          <w:p w:rsidR="008727FA" w:rsidRPr="00902555" w:rsidRDefault="008727FA" w:rsidP="006269C7">
            <w:pPr>
              <w:widowControl/>
              <w:adjustRightInd w:val="0"/>
              <w:spacing w:after="200" w:line="276" w:lineRule="auto"/>
              <w:jc w:val="right"/>
              <w:rPr>
                <w:rFonts w:eastAsia="MS Mincho"/>
                <w:sz w:val="16"/>
                <w:szCs w:val="16"/>
                <w:lang w:val="cs-CZ"/>
              </w:rPr>
            </w:pPr>
          </w:p>
        </w:tc>
        <w:tc>
          <w:tcPr>
            <w:tcW w:w="568" w:type="pct"/>
            <w:tcBorders>
              <w:top w:val="single" w:sz="4" w:space="0" w:color="auto"/>
              <w:left w:val="single" w:sz="4" w:space="0" w:color="auto"/>
              <w:bottom w:val="single" w:sz="4" w:space="0" w:color="auto"/>
              <w:right w:val="single" w:sz="4" w:space="0" w:color="auto"/>
            </w:tcBorders>
          </w:tcPr>
          <w:p w:rsidR="008727FA" w:rsidRPr="00902555" w:rsidRDefault="008727FA" w:rsidP="006269C7">
            <w:pPr>
              <w:widowControl/>
              <w:adjustRightInd w:val="0"/>
              <w:spacing w:after="200" w:line="276" w:lineRule="auto"/>
              <w:jc w:val="right"/>
              <w:rPr>
                <w:rFonts w:eastAsia="MS Mincho"/>
                <w:sz w:val="16"/>
                <w:szCs w:val="16"/>
                <w:lang w:val="cs-CZ"/>
              </w:rPr>
            </w:pPr>
          </w:p>
        </w:tc>
        <w:tc>
          <w:tcPr>
            <w:tcW w:w="571" w:type="pct"/>
            <w:tcBorders>
              <w:top w:val="single" w:sz="4" w:space="0" w:color="auto"/>
              <w:left w:val="single" w:sz="4" w:space="0" w:color="auto"/>
              <w:bottom w:val="single" w:sz="4" w:space="0" w:color="auto"/>
              <w:right w:val="single" w:sz="4" w:space="0" w:color="auto"/>
            </w:tcBorders>
          </w:tcPr>
          <w:p w:rsidR="008727FA" w:rsidRPr="00902555" w:rsidRDefault="008727FA" w:rsidP="006269C7">
            <w:pPr>
              <w:widowControl/>
              <w:adjustRightInd w:val="0"/>
              <w:spacing w:after="200" w:line="276" w:lineRule="auto"/>
              <w:jc w:val="right"/>
              <w:rPr>
                <w:rFonts w:eastAsia="MS Mincho"/>
                <w:sz w:val="16"/>
                <w:szCs w:val="16"/>
                <w:lang w:val="cs-CZ"/>
              </w:rPr>
            </w:pPr>
          </w:p>
        </w:tc>
        <w:tc>
          <w:tcPr>
            <w:tcW w:w="688" w:type="pct"/>
            <w:tcBorders>
              <w:top w:val="single" w:sz="4" w:space="0" w:color="auto"/>
              <w:left w:val="single" w:sz="4" w:space="0" w:color="auto"/>
              <w:bottom w:val="single" w:sz="4" w:space="0" w:color="auto"/>
              <w:right w:val="single" w:sz="4" w:space="0" w:color="auto"/>
            </w:tcBorders>
          </w:tcPr>
          <w:p w:rsidR="008727FA" w:rsidRPr="00902555" w:rsidRDefault="008727FA" w:rsidP="006269C7">
            <w:pPr>
              <w:widowControl/>
              <w:adjustRightInd w:val="0"/>
              <w:spacing w:after="200" w:line="276" w:lineRule="auto"/>
              <w:jc w:val="right"/>
              <w:rPr>
                <w:rFonts w:eastAsia="MS Mincho"/>
                <w:sz w:val="16"/>
                <w:szCs w:val="16"/>
                <w:lang w:val="cs-CZ"/>
              </w:rPr>
            </w:pPr>
          </w:p>
        </w:tc>
        <w:tc>
          <w:tcPr>
            <w:tcW w:w="686" w:type="pct"/>
            <w:tcBorders>
              <w:top w:val="single" w:sz="4" w:space="0" w:color="auto"/>
              <w:left w:val="single" w:sz="4" w:space="0" w:color="auto"/>
              <w:bottom w:val="single" w:sz="4" w:space="0" w:color="auto"/>
              <w:right w:val="single" w:sz="4" w:space="0" w:color="auto"/>
            </w:tcBorders>
          </w:tcPr>
          <w:p w:rsidR="008727FA" w:rsidRPr="00902555" w:rsidRDefault="008727FA" w:rsidP="006269C7">
            <w:pPr>
              <w:widowControl/>
              <w:adjustRightInd w:val="0"/>
              <w:spacing w:after="200" w:line="276" w:lineRule="auto"/>
              <w:jc w:val="right"/>
              <w:rPr>
                <w:rFonts w:eastAsia="MS Mincho"/>
                <w:sz w:val="16"/>
                <w:szCs w:val="16"/>
                <w:lang w:val="cs-CZ"/>
              </w:rPr>
            </w:pPr>
          </w:p>
        </w:tc>
      </w:tr>
      <w:tr w:rsidR="008727FA" w:rsidRPr="00902555" w:rsidTr="006269C7">
        <w:tc>
          <w:tcPr>
            <w:tcW w:w="1360" w:type="pct"/>
            <w:gridSpan w:val="2"/>
            <w:tcBorders>
              <w:top w:val="single" w:sz="4" w:space="0" w:color="auto"/>
              <w:left w:val="single" w:sz="4" w:space="0" w:color="auto"/>
              <w:bottom w:val="single" w:sz="4" w:space="0" w:color="auto"/>
              <w:right w:val="single" w:sz="4" w:space="0" w:color="auto"/>
            </w:tcBorders>
          </w:tcPr>
          <w:p w:rsidR="008727FA" w:rsidRPr="00902555" w:rsidRDefault="008727FA" w:rsidP="006269C7">
            <w:pPr>
              <w:widowControl/>
              <w:adjustRightInd w:val="0"/>
              <w:spacing w:after="200" w:line="276" w:lineRule="auto"/>
              <w:rPr>
                <w:rFonts w:eastAsia="MS Mincho"/>
                <w:sz w:val="16"/>
                <w:szCs w:val="16"/>
                <w:lang w:val="cs-CZ"/>
              </w:rPr>
            </w:pPr>
          </w:p>
        </w:tc>
        <w:tc>
          <w:tcPr>
            <w:tcW w:w="305" w:type="pct"/>
            <w:tcBorders>
              <w:top w:val="single" w:sz="4" w:space="0" w:color="auto"/>
              <w:left w:val="single" w:sz="4" w:space="0" w:color="auto"/>
              <w:bottom w:val="single" w:sz="4" w:space="0" w:color="auto"/>
              <w:right w:val="single" w:sz="4" w:space="0" w:color="auto"/>
            </w:tcBorders>
          </w:tcPr>
          <w:p w:rsidR="008727FA" w:rsidRPr="00902555" w:rsidRDefault="008727FA" w:rsidP="006269C7">
            <w:pPr>
              <w:widowControl/>
              <w:adjustRightInd w:val="0"/>
              <w:spacing w:after="200" w:line="276" w:lineRule="auto"/>
              <w:rPr>
                <w:rFonts w:eastAsia="MS Mincho"/>
                <w:sz w:val="16"/>
                <w:szCs w:val="16"/>
                <w:lang w:val="cs-CZ"/>
              </w:rPr>
            </w:pPr>
          </w:p>
        </w:tc>
        <w:tc>
          <w:tcPr>
            <w:tcW w:w="379" w:type="pct"/>
            <w:tcBorders>
              <w:top w:val="single" w:sz="4" w:space="0" w:color="auto"/>
              <w:left w:val="single" w:sz="4" w:space="0" w:color="auto"/>
              <w:bottom w:val="single" w:sz="4" w:space="0" w:color="auto"/>
              <w:right w:val="single" w:sz="4" w:space="0" w:color="auto"/>
            </w:tcBorders>
          </w:tcPr>
          <w:p w:rsidR="008727FA" w:rsidRPr="00902555" w:rsidRDefault="008727FA" w:rsidP="006269C7">
            <w:pPr>
              <w:widowControl/>
              <w:adjustRightInd w:val="0"/>
              <w:spacing w:after="200" w:line="276" w:lineRule="auto"/>
              <w:jc w:val="right"/>
              <w:rPr>
                <w:rFonts w:eastAsia="MS Mincho"/>
                <w:sz w:val="16"/>
                <w:szCs w:val="16"/>
                <w:lang w:val="cs-CZ"/>
              </w:rPr>
            </w:pPr>
          </w:p>
        </w:tc>
        <w:tc>
          <w:tcPr>
            <w:tcW w:w="443" w:type="pct"/>
            <w:tcBorders>
              <w:top w:val="single" w:sz="4" w:space="0" w:color="auto"/>
              <w:left w:val="single" w:sz="4" w:space="0" w:color="auto"/>
              <w:bottom w:val="single" w:sz="4" w:space="0" w:color="auto"/>
              <w:right w:val="single" w:sz="4" w:space="0" w:color="auto"/>
            </w:tcBorders>
          </w:tcPr>
          <w:p w:rsidR="008727FA" w:rsidRPr="00902555" w:rsidRDefault="008727FA" w:rsidP="006269C7">
            <w:pPr>
              <w:widowControl/>
              <w:adjustRightInd w:val="0"/>
              <w:spacing w:after="200" w:line="276" w:lineRule="auto"/>
              <w:jc w:val="right"/>
              <w:rPr>
                <w:rFonts w:eastAsia="MS Mincho"/>
                <w:sz w:val="16"/>
                <w:szCs w:val="16"/>
                <w:lang w:val="cs-CZ"/>
              </w:rPr>
            </w:pPr>
          </w:p>
        </w:tc>
        <w:tc>
          <w:tcPr>
            <w:tcW w:w="568" w:type="pct"/>
            <w:tcBorders>
              <w:top w:val="single" w:sz="4" w:space="0" w:color="auto"/>
              <w:left w:val="single" w:sz="4" w:space="0" w:color="auto"/>
              <w:bottom w:val="single" w:sz="4" w:space="0" w:color="auto"/>
              <w:right w:val="single" w:sz="4" w:space="0" w:color="auto"/>
            </w:tcBorders>
          </w:tcPr>
          <w:p w:rsidR="008727FA" w:rsidRPr="00902555" w:rsidRDefault="008727FA" w:rsidP="006269C7">
            <w:pPr>
              <w:widowControl/>
              <w:adjustRightInd w:val="0"/>
              <w:spacing w:after="200" w:line="276" w:lineRule="auto"/>
              <w:jc w:val="right"/>
              <w:rPr>
                <w:rFonts w:eastAsia="MS Mincho"/>
                <w:sz w:val="16"/>
                <w:szCs w:val="16"/>
                <w:lang w:val="cs-CZ"/>
              </w:rPr>
            </w:pPr>
          </w:p>
        </w:tc>
        <w:tc>
          <w:tcPr>
            <w:tcW w:w="571" w:type="pct"/>
            <w:tcBorders>
              <w:top w:val="single" w:sz="4" w:space="0" w:color="auto"/>
              <w:left w:val="single" w:sz="4" w:space="0" w:color="auto"/>
              <w:bottom w:val="single" w:sz="4" w:space="0" w:color="auto"/>
              <w:right w:val="single" w:sz="4" w:space="0" w:color="auto"/>
            </w:tcBorders>
          </w:tcPr>
          <w:p w:rsidR="008727FA" w:rsidRPr="00902555" w:rsidRDefault="008727FA" w:rsidP="006269C7">
            <w:pPr>
              <w:widowControl/>
              <w:adjustRightInd w:val="0"/>
              <w:spacing w:after="200" w:line="276" w:lineRule="auto"/>
              <w:jc w:val="right"/>
              <w:rPr>
                <w:rFonts w:eastAsia="MS Mincho"/>
                <w:sz w:val="16"/>
                <w:szCs w:val="16"/>
                <w:lang w:val="cs-CZ"/>
              </w:rPr>
            </w:pPr>
          </w:p>
        </w:tc>
        <w:tc>
          <w:tcPr>
            <w:tcW w:w="688" w:type="pct"/>
            <w:tcBorders>
              <w:top w:val="single" w:sz="4" w:space="0" w:color="auto"/>
              <w:left w:val="single" w:sz="4" w:space="0" w:color="auto"/>
              <w:bottom w:val="single" w:sz="4" w:space="0" w:color="auto"/>
              <w:right w:val="single" w:sz="4" w:space="0" w:color="auto"/>
            </w:tcBorders>
          </w:tcPr>
          <w:p w:rsidR="008727FA" w:rsidRPr="00902555" w:rsidRDefault="008727FA" w:rsidP="006269C7">
            <w:pPr>
              <w:widowControl/>
              <w:adjustRightInd w:val="0"/>
              <w:spacing w:after="200" w:line="276" w:lineRule="auto"/>
              <w:jc w:val="right"/>
              <w:rPr>
                <w:rFonts w:eastAsia="MS Mincho"/>
                <w:sz w:val="16"/>
                <w:szCs w:val="16"/>
                <w:lang w:val="cs-CZ"/>
              </w:rPr>
            </w:pPr>
          </w:p>
        </w:tc>
        <w:tc>
          <w:tcPr>
            <w:tcW w:w="686" w:type="pct"/>
            <w:tcBorders>
              <w:top w:val="single" w:sz="4" w:space="0" w:color="auto"/>
              <w:left w:val="single" w:sz="4" w:space="0" w:color="auto"/>
              <w:bottom w:val="single" w:sz="4" w:space="0" w:color="auto"/>
              <w:right w:val="single" w:sz="4" w:space="0" w:color="auto"/>
            </w:tcBorders>
          </w:tcPr>
          <w:p w:rsidR="008727FA" w:rsidRPr="00902555" w:rsidRDefault="008727FA" w:rsidP="006269C7">
            <w:pPr>
              <w:widowControl/>
              <w:adjustRightInd w:val="0"/>
              <w:spacing w:after="200" w:line="276" w:lineRule="auto"/>
              <w:jc w:val="right"/>
              <w:rPr>
                <w:rFonts w:eastAsia="MS Mincho"/>
                <w:sz w:val="16"/>
                <w:szCs w:val="16"/>
                <w:lang w:val="cs-CZ"/>
              </w:rPr>
            </w:pPr>
          </w:p>
        </w:tc>
      </w:tr>
      <w:tr w:rsidR="008727FA" w:rsidRPr="00902555" w:rsidTr="006269C7">
        <w:trPr>
          <w:gridAfter w:val="1"/>
          <w:wAfter w:w="686" w:type="pct"/>
          <w:trHeight w:val="70"/>
        </w:trPr>
        <w:tc>
          <w:tcPr>
            <w:tcW w:w="266" w:type="pct"/>
            <w:tcBorders>
              <w:top w:val="single" w:sz="4" w:space="0" w:color="auto"/>
              <w:left w:val="nil"/>
              <w:bottom w:val="single" w:sz="4" w:space="0" w:color="auto"/>
              <w:right w:val="nil"/>
            </w:tcBorders>
          </w:tcPr>
          <w:p w:rsidR="008727FA" w:rsidRPr="00902555" w:rsidRDefault="008727FA" w:rsidP="006269C7">
            <w:pPr>
              <w:widowControl/>
              <w:adjustRightInd w:val="0"/>
              <w:spacing w:after="200" w:line="276" w:lineRule="auto"/>
              <w:rPr>
                <w:rFonts w:eastAsia="MS Mincho"/>
                <w:sz w:val="16"/>
                <w:szCs w:val="16"/>
                <w:lang w:val="cs-CZ"/>
              </w:rPr>
            </w:pPr>
          </w:p>
        </w:tc>
        <w:tc>
          <w:tcPr>
            <w:tcW w:w="1094" w:type="pct"/>
            <w:tcBorders>
              <w:top w:val="single" w:sz="4" w:space="0" w:color="auto"/>
              <w:left w:val="nil"/>
              <w:bottom w:val="single" w:sz="4" w:space="0" w:color="auto"/>
              <w:right w:val="nil"/>
            </w:tcBorders>
          </w:tcPr>
          <w:p w:rsidR="008727FA" w:rsidRPr="00902555" w:rsidRDefault="008727FA" w:rsidP="006269C7">
            <w:pPr>
              <w:widowControl/>
              <w:adjustRightInd w:val="0"/>
              <w:spacing w:after="200" w:line="276" w:lineRule="auto"/>
              <w:rPr>
                <w:rFonts w:eastAsia="MS Mincho"/>
                <w:sz w:val="16"/>
                <w:szCs w:val="16"/>
                <w:lang w:val="cs-CZ"/>
              </w:rPr>
            </w:pPr>
          </w:p>
        </w:tc>
        <w:tc>
          <w:tcPr>
            <w:tcW w:w="305" w:type="pct"/>
            <w:tcBorders>
              <w:top w:val="single" w:sz="4" w:space="0" w:color="auto"/>
              <w:left w:val="nil"/>
              <w:bottom w:val="single" w:sz="4" w:space="0" w:color="auto"/>
              <w:right w:val="nil"/>
            </w:tcBorders>
          </w:tcPr>
          <w:p w:rsidR="008727FA" w:rsidRPr="00902555" w:rsidRDefault="008727FA" w:rsidP="006269C7">
            <w:pPr>
              <w:widowControl/>
              <w:adjustRightInd w:val="0"/>
              <w:spacing w:after="200" w:line="276" w:lineRule="auto"/>
              <w:rPr>
                <w:rFonts w:eastAsia="MS Mincho"/>
                <w:sz w:val="16"/>
                <w:szCs w:val="16"/>
                <w:lang w:val="cs-CZ"/>
              </w:rPr>
            </w:pPr>
          </w:p>
        </w:tc>
        <w:tc>
          <w:tcPr>
            <w:tcW w:w="1960" w:type="pct"/>
            <w:gridSpan w:val="4"/>
            <w:tcBorders>
              <w:top w:val="single" w:sz="4" w:space="0" w:color="auto"/>
              <w:left w:val="nil"/>
              <w:bottom w:val="single" w:sz="4" w:space="0" w:color="auto"/>
              <w:right w:val="nil"/>
            </w:tcBorders>
          </w:tcPr>
          <w:p w:rsidR="008727FA" w:rsidRPr="00902555" w:rsidRDefault="008727FA" w:rsidP="006269C7">
            <w:pPr>
              <w:widowControl/>
              <w:adjustRightInd w:val="0"/>
              <w:spacing w:after="200" w:line="276" w:lineRule="auto"/>
              <w:rPr>
                <w:rFonts w:eastAsia="MS Mincho"/>
                <w:sz w:val="16"/>
                <w:szCs w:val="16"/>
                <w:lang w:val="cs-CZ"/>
              </w:rPr>
            </w:pPr>
          </w:p>
        </w:tc>
        <w:tc>
          <w:tcPr>
            <w:tcW w:w="688" w:type="pct"/>
            <w:tcBorders>
              <w:top w:val="single" w:sz="4" w:space="0" w:color="auto"/>
              <w:left w:val="nil"/>
              <w:bottom w:val="single" w:sz="4" w:space="0" w:color="auto"/>
              <w:right w:val="nil"/>
            </w:tcBorders>
          </w:tcPr>
          <w:p w:rsidR="008727FA" w:rsidRPr="00902555" w:rsidRDefault="008727FA" w:rsidP="006269C7">
            <w:pPr>
              <w:widowControl/>
              <w:adjustRightInd w:val="0"/>
              <w:spacing w:after="200" w:line="276" w:lineRule="auto"/>
              <w:rPr>
                <w:rFonts w:eastAsia="MS Mincho"/>
                <w:sz w:val="16"/>
                <w:szCs w:val="16"/>
                <w:lang w:val="cs-CZ"/>
              </w:rPr>
            </w:pPr>
          </w:p>
        </w:tc>
      </w:tr>
      <w:tr w:rsidR="008727FA" w:rsidRPr="00902555" w:rsidTr="006269C7">
        <w:trPr>
          <w:trHeight w:val="70"/>
        </w:trPr>
        <w:tc>
          <w:tcPr>
            <w:tcW w:w="4314" w:type="pct"/>
            <w:gridSpan w:val="8"/>
            <w:tcBorders>
              <w:top w:val="single" w:sz="4" w:space="0" w:color="auto"/>
              <w:left w:val="single" w:sz="4" w:space="0" w:color="auto"/>
              <w:bottom w:val="single" w:sz="4" w:space="0" w:color="auto"/>
              <w:right w:val="single" w:sz="4" w:space="0" w:color="auto"/>
            </w:tcBorders>
            <w:hideMark/>
          </w:tcPr>
          <w:p w:rsidR="008727FA" w:rsidRPr="00902555" w:rsidRDefault="008727FA" w:rsidP="006269C7">
            <w:pPr>
              <w:widowControl/>
              <w:adjustRightInd w:val="0"/>
              <w:spacing w:after="200" w:line="276" w:lineRule="auto"/>
              <w:rPr>
                <w:rFonts w:eastAsia="MS Mincho"/>
                <w:sz w:val="16"/>
                <w:szCs w:val="16"/>
                <w:lang w:val="cs-CZ"/>
              </w:rPr>
            </w:pPr>
            <w:r w:rsidRPr="00902555">
              <w:rPr>
                <w:rFonts w:eastAsia="MS Mincho"/>
                <w:sz w:val="16"/>
                <w:szCs w:val="16"/>
                <w:lang w:val="cs-CZ"/>
              </w:rPr>
              <w:t xml:space="preserve">Celkový </w:t>
            </w:r>
            <w:proofErr w:type="spellStart"/>
            <w:r w:rsidRPr="00902555">
              <w:rPr>
                <w:rFonts w:eastAsia="MS Mincho"/>
                <w:sz w:val="16"/>
                <w:szCs w:val="16"/>
                <w:lang w:val="cs-CZ"/>
              </w:rPr>
              <w:t>poplatok</w:t>
            </w:r>
            <w:proofErr w:type="spellEnd"/>
            <w:r w:rsidRPr="00902555">
              <w:rPr>
                <w:rFonts w:eastAsia="MS Mincho"/>
                <w:sz w:val="16"/>
                <w:szCs w:val="16"/>
                <w:lang w:val="cs-CZ"/>
              </w:rPr>
              <w:t xml:space="preserve"> za </w:t>
            </w:r>
            <w:proofErr w:type="spellStart"/>
            <w:r w:rsidRPr="00902555">
              <w:rPr>
                <w:rFonts w:eastAsia="MS Mincho"/>
                <w:sz w:val="16"/>
                <w:szCs w:val="16"/>
                <w:lang w:val="cs-CZ"/>
              </w:rPr>
              <w:t>softvér</w:t>
            </w:r>
            <w:proofErr w:type="spellEnd"/>
            <w:r w:rsidRPr="00902555">
              <w:rPr>
                <w:rFonts w:eastAsia="MS Mincho"/>
                <w:sz w:val="16"/>
                <w:szCs w:val="16"/>
                <w:lang w:val="cs-CZ"/>
              </w:rPr>
              <w:t xml:space="preserve"> v EUR bez DPH/</w:t>
            </w:r>
            <w:proofErr w:type="spellStart"/>
            <w:r w:rsidRPr="00902555">
              <w:rPr>
                <w:rFonts w:eastAsia="MS Mincho"/>
                <w:sz w:val="16"/>
                <w:szCs w:val="16"/>
                <w:lang w:val="cs-CZ"/>
              </w:rPr>
              <w:t>Total</w:t>
            </w:r>
            <w:proofErr w:type="spellEnd"/>
            <w:r w:rsidRPr="00902555">
              <w:rPr>
                <w:rFonts w:eastAsia="MS Mincho"/>
                <w:sz w:val="16"/>
                <w:szCs w:val="16"/>
                <w:lang w:val="cs-CZ"/>
              </w:rPr>
              <w:t xml:space="preserve"> software </w:t>
            </w:r>
            <w:proofErr w:type="spellStart"/>
            <w:r w:rsidRPr="00902555">
              <w:rPr>
                <w:rFonts w:eastAsia="MS Mincho"/>
                <w:sz w:val="16"/>
                <w:szCs w:val="16"/>
                <w:lang w:val="cs-CZ"/>
              </w:rPr>
              <w:t>Fee</w:t>
            </w:r>
            <w:proofErr w:type="spellEnd"/>
            <w:r w:rsidRPr="00902555">
              <w:rPr>
                <w:rFonts w:eastAsia="MS Mincho"/>
                <w:sz w:val="16"/>
                <w:szCs w:val="16"/>
                <w:lang w:val="cs-CZ"/>
              </w:rPr>
              <w:t xml:space="preserve"> in EUR w/o VAT</w:t>
            </w:r>
          </w:p>
        </w:tc>
        <w:tc>
          <w:tcPr>
            <w:tcW w:w="686" w:type="pct"/>
            <w:tcBorders>
              <w:top w:val="single" w:sz="4" w:space="0" w:color="auto"/>
              <w:left w:val="single" w:sz="4" w:space="0" w:color="auto"/>
              <w:bottom w:val="single" w:sz="4" w:space="0" w:color="auto"/>
              <w:right w:val="single" w:sz="4" w:space="0" w:color="auto"/>
            </w:tcBorders>
            <w:shd w:val="clear" w:color="auto" w:fill="D9D9D9"/>
          </w:tcPr>
          <w:p w:rsidR="008727FA" w:rsidRPr="00902555" w:rsidRDefault="008727FA" w:rsidP="006269C7">
            <w:pPr>
              <w:widowControl/>
              <w:adjustRightInd w:val="0"/>
              <w:spacing w:after="200" w:line="276" w:lineRule="auto"/>
              <w:jc w:val="right"/>
              <w:rPr>
                <w:rFonts w:eastAsia="MS Mincho"/>
                <w:sz w:val="16"/>
                <w:szCs w:val="16"/>
                <w:lang w:val="cs-CZ"/>
              </w:rPr>
            </w:pPr>
          </w:p>
        </w:tc>
      </w:tr>
      <w:tr w:rsidR="008727FA" w:rsidRPr="00902555" w:rsidTr="006269C7">
        <w:trPr>
          <w:trHeight w:val="70"/>
        </w:trPr>
        <w:tc>
          <w:tcPr>
            <w:tcW w:w="4314" w:type="pct"/>
            <w:gridSpan w:val="8"/>
            <w:tcBorders>
              <w:top w:val="single" w:sz="4" w:space="0" w:color="auto"/>
              <w:left w:val="single" w:sz="4" w:space="0" w:color="auto"/>
              <w:bottom w:val="single" w:sz="4" w:space="0" w:color="auto"/>
              <w:right w:val="single" w:sz="4" w:space="0" w:color="auto"/>
            </w:tcBorders>
            <w:hideMark/>
          </w:tcPr>
          <w:p w:rsidR="008727FA" w:rsidRPr="00902555" w:rsidRDefault="008727FA" w:rsidP="006269C7">
            <w:pPr>
              <w:widowControl/>
              <w:adjustRightInd w:val="0"/>
              <w:spacing w:after="200" w:line="276" w:lineRule="auto"/>
              <w:rPr>
                <w:rFonts w:eastAsia="MS Mincho"/>
                <w:sz w:val="16"/>
                <w:szCs w:val="16"/>
                <w:lang w:val="cs-CZ"/>
              </w:rPr>
            </w:pPr>
            <w:r w:rsidRPr="00902555">
              <w:rPr>
                <w:rFonts w:eastAsia="MS Mincho"/>
                <w:sz w:val="16"/>
                <w:szCs w:val="16"/>
                <w:lang w:val="cs-CZ"/>
              </w:rPr>
              <w:t xml:space="preserve">Základ </w:t>
            </w:r>
            <w:proofErr w:type="spellStart"/>
            <w:r w:rsidRPr="00902555">
              <w:rPr>
                <w:rFonts w:eastAsia="MS Mincho"/>
                <w:sz w:val="16"/>
                <w:szCs w:val="16"/>
                <w:lang w:val="cs-CZ"/>
              </w:rPr>
              <w:t>pre</w:t>
            </w:r>
            <w:proofErr w:type="spellEnd"/>
            <w:r w:rsidRPr="00902555">
              <w:rPr>
                <w:rFonts w:eastAsia="MS Mincho"/>
                <w:sz w:val="16"/>
                <w:szCs w:val="16"/>
                <w:lang w:val="cs-CZ"/>
              </w:rPr>
              <w:t xml:space="preserve"> výpočet ceny podpory /</w:t>
            </w:r>
            <w:proofErr w:type="spellStart"/>
            <w:r w:rsidRPr="00902555">
              <w:rPr>
                <w:rFonts w:eastAsia="MS Mincho"/>
                <w:sz w:val="16"/>
                <w:szCs w:val="16"/>
                <w:lang w:val="cs-CZ"/>
              </w:rPr>
              <w:t>Maintenance</w:t>
            </w:r>
            <w:proofErr w:type="spellEnd"/>
            <w:r w:rsidRPr="00902555">
              <w:rPr>
                <w:rFonts w:eastAsia="MS Mincho"/>
                <w:sz w:val="16"/>
                <w:szCs w:val="16"/>
                <w:lang w:val="cs-CZ"/>
              </w:rPr>
              <w:t xml:space="preserve"> base</w:t>
            </w:r>
          </w:p>
        </w:tc>
        <w:tc>
          <w:tcPr>
            <w:tcW w:w="686" w:type="pct"/>
            <w:tcBorders>
              <w:top w:val="single" w:sz="4" w:space="0" w:color="auto"/>
              <w:left w:val="single" w:sz="4" w:space="0" w:color="auto"/>
              <w:bottom w:val="single" w:sz="4" w:space="0" w:color="auto"/>
              <w:right w:val="single" w:sz="4" w:space="0" w:color="auto"/>
            </w:tcBorders>
            <w:shd w:val="clear" w:color="auto" w:fill="D9D9D9"/>
          </w:tcPr>
          <w:p w:rsidR="008727FA" w:rsidRPr="00902555" w:rsidRDefault="008727FA" w:rsidP="006269C7">
            <w:pPr>
              <w:widowControl/>
              <w:adjustRightInd w:val="0"/>
              <w:spacing w:after="200" w:line="276" w:lineRule="auto"/>
              <w:jc w:val="right"/>
              <w:rPr>
                <w:rFonts w:eastAsia="MS Mincho"/>
                <w:sz w:val="16"/>
                <w:szCs w:val="16"/>
                <w:lang w:val="cs-CZ"/>
              </w:rPr>
            </w:pPr>
          </w:p>
        </w:tc>
      </w:tr>
      <w:tr w:rsidR="008727FA" w:rsidRPr="00902555" w:rsidTr="006269C7">
        <w:trPr>
          <w:trHeight w:val="70"/>
        </w:trPr>
        <w:tc>
          <w:tcPr>
            <w:tcW w:w="4314" w:type="pct"/>
            <w:gridSpan w:val="8"/>
            <w:tcBorders>
              <w:top w:val="single" w:sz="4" w:space="0" w:color="auto"/>
              <w:left w:val="single" w:sz="4" w:space="0" w:color="auto"/>
              <w:bottom w:val="single" w:sz="4" w:space="0" w:color="auto"/>
              <w:right w:val="single" w:sz="4" w:space="0" w:color="auto"/>
            </w:tcBorders>
            <w:hideMark/>
          </w:tcPr>
          <w:p w:rsidR="008727FA" w:rsidRPr="00902555" w:rsidRDefault="008727FA" w:rsidP="006269C7">
            <w:pPr>
              <w:widowControl/>
              <w:adjustRightInd w:val="0"/>
              <w:spacing w:after="200" w:line="276" w:lineRule="auto"/>
              <w:rPr>
                <w:rFonts w:eastAsia="MS Mincho"/>
                <w:sz w:val="16"/>
                <w:szCs w:val="16"/>
                <w:lang w:val="cs-CZ"/>
              </w:rPr>
            </w:pPr>
            <w:proofErr w:type="spellStart"/>
            <w:r w:rsidRPr="00902555">
              <w:rPr>
                <w:rFonts w:eastAsia="MS Mincho"/>
                <w:sz w:val="16"/>
                <w:szCs w:val="16"/>
                <w:lang w:val="cs-CZ"/>
              </w:rPr>
              <w:t>Percento</w:t>
            </w:r>
            <w:proofErr w:type="spellEnd"/>
            <w:r w:rsidRPr="00902555">
              <w:rPr>
                <w:rFonts w:eastAsia="MS Mincho"/>
                <w:sz w:val="16"/>
                <w:szCs w:val="16"/>
                <w:lang w:val="cs-CZ"/>
              </w:rPr>
              <w:t xml:space="preserve"> </w:t>
            </w:r>
            <w:proofErr w:type="spellStart"/>
            <w:r w:rsidRPr="00902555">
              <w:rPr>
                <w:rFonts w:eastAsia="MS Mincho"/>
                <w:sz w:val="16"/>
                <w:szCs w:val="16"/>
                <w:lang w:val="cs-CZ"/>
              </w:rPr>
              <w:t>pre</w:t>
            </w:r>
            <w:proofErr w:type="spellEnd"/>
            <w:r w:rsidRPr="00902555">
              <w:rPr>
                <w:rFonts w:eastAsia="MS Mincho"/>
                <w:sz w:val="16"/>
                <w:szCs w:val="16"/>
                <w:lang w:val="cs-CZ"/>
              </w:rPr>
              <w:t xml:space="preserve"> výpočet poplatku / </w:t>
            </w:r>
            <w:proofErr w:type="spellStart"/>
            <w:r w:rsidRPr="00902555">
              <w:rPr>
                <w:rFonts w:eastAsia="MS Mincho"/>
                <w:sz w:val="16"/>
                <w:szCs w:val="16"/>
                <w:lang w:val="cs-CZ"/>
              </w:rPr>
              <w:t>Maintenance</w:t>
            </w:r>
            <w:proofErr w:type="spellEnd"/>
            <w:r w:rsidRPr="00902555">
              <w:rPr>
                <w:rFonts w:eastAsia="MS Mincho"/>
                <w:sz w:val="16"/>
                <w:szCs w:val="16"/>
                <w:lang w:val="cs-CZ"/>
              </w:rPr>
              <w:t xml:space="preserve"> </w:t>
            </w:r>
            <w:proofErr w:type="spellStart"/>
            <w:r w:rsidRPr="00902555">
              <w:rPr>
                <w:rFonts w:eastAsia="MS Mincho"/>
                <w:sz w:val="16"/>
                <w:szCs w:val="16"/>
                <w:lang w:val="cs-CZ"/>
              </w:rPr>
              <w:t>percentage</w:t>
            </w:r>
            <w:proofErr w:type="spellEnd"/>
          </w:p>
        </w:tc>
        <w:tc>
          <w:tcPr>
            <w:tcW w:w="686" w:type="pct"/>
            <w:tcBorders>
              <w:top w:val="single" w:sz="4" w:space="0" w:color="auto"/>
              <w:left w:val="single" w:sz="4" w:space="0" w:color="auto"/>
              <w:bottom w:val="single" w:sz="4" w:space="0" w:color="auto"/>
              <w:right w:val="single" w:sz="4" w:space="0" w:color="auto"/>
            </w:tcBorders>
            <w:shd w:val="clear" w:color="auto" w:fill="D9D9D9"/>
          </w:tcPr>
          <w:p w:rsidR="008727FA" w:rsidRPr="00902555" w:rsidRDefault="008727FA" w:rsidP="006269C7">
            <w:pPr>
              <w:widowControl/>
              <w:adjustRightInd w:val="0"/>
              <w:spacing w:after="200" w:line="276" w:lineRule="auto"/>
              <w:jc w:val="right"/>
              <w:rPr>
                <w:rFonts w:eastAsia="MS Mincho"/>
                <w:sz w:val="16"/>
                <w:szCs w:val="16"/>
                <w:lang w:val="cs-CZ"/>
              </w:rPr>
            </w:pPr>
          </w:p>
        </w:tc>
      </w:tr>
      <w:tr w:rsidR="008727FA" w:rsidRPr="00902555" w:rsidTr="006269C7">
        <w:trPr>
          <w:trHeight w:val="70"/>
        </w:trPr>
        <w:tc>
          <w:tcPr>
            <w:tcW w:w="4314" w:type="pct"/>
            <w:gridSpan w:val="8"/>
            <w:tcBorders>
              <w:top w:val="single" w:sz="4" w:space="0" w:color="auto"/>
              <w:left w:val="single" w:sz="4" w:space="0" w:color="auto"/>
              <w:bottom w:val="single" w:sz="4" w:space="0" w:color="auto"/>
              <w:right w:val="single" w:sz="4" w:space="0" w:color="auto"/>
            </w:tcBorders>
            <w:hideMark/>
          </w:tcPr>
          <w:p w:rsidR="008727FA" w:rsidRPr="00902555" w:rsidRDefault="008727FA" w:rsidP="006269C7">
            <w:pPr>
              <w:widowControl/>
              <w:adjustRightInd w:val="0"/>
              <w:spacing w:after="200" w:line="276" w:lineRule="auto"/>
              <w:rPr>
                <w:rFonts w:eastAsia="MS Mincho"/>
                <w:sz w:val="16"/>
                <w:szCs w:val="16"/>
                <w:lang w:val="cs-CZ"/>
              </w:rPr>
            </w:pPr>
            <w:r w:rsidRPr="00902555">
              <w:rPr>
                <w:rFonts w:eastAsia="MS Mincho"/>
                <w:sz w:val="16"/>
                <w:szCs w:val="16"/>
                <w:lang w:val="cs-CZ"/>
              </w:rPr>
              <w:t xml:space="preserve">Ročný </w:t>
            </w:r>
            <w:proofErr w:type="spellStart"/>
            <w:r w:rsidRPr="00902555">
              <w:rPr>
                <w:rFonts w:eastAsia="MS Mincho"/>
                <w:sz w:val="16"/>
                <w:szCs w:val="16"/>
                <w:lang w:val="cs-CZ"/>
              </w:rPr>
              <w:t>poplatok</w:t>
            </w:r>
            <w:proofErr w:type="spellEnd"/>
            <w:r w:rsidRPr="00902555">
              <w:rPr>
                <w:rFonts w:eastAsia="MS Mincho"/>
                <w:sz w:val="16"/>
                <w:szCs w:val="16"/>
                <w:lang w:val="cs-CZ"/>
              </w:rPr>
              <w:t xml:space="preserve"> za služby podpory v </w:t>
            </w:r>
            <w:proofErr w:type="gramStart"/>
            <w:r w:rsidRPr="00902555">
              <w:rPr>
                <w:rFonts w:eastAsia="MS Mincho"/>
                <w:sz w:val="16"/>
                <w:szCs w:val="16"/>
                <w:lang w:val="cs-CZ"/>
              </w:rPr>
              <w:t>EUR</w:t>
            </w:r>
            <w:proofErr w:type="gramEnd"/>
            <w:r w:rsidRPr="00902555">
              <w:rPr>
                <w:rFonts w:eastAsia="MS Mincho"/>
                <w:sz w:val="16"/>
                <w:szCs w:val="16"/>
                <w:lang w:val="cs-CZ"/>
              </w:rPr>
              <w:t xml:space="preserve"> ber DPH/</w:t>
            </w:r>
            <w:proofErr w:type="spellStart"/>
            <w:r w:rsidRPr="00902555">
              <w:rPr>
                <w:rFonts w:eastAsia="MS Mincho"/>
                <w:sz w:val="16"/>
                <w:szCs w:val="16"/>
                <w:lang w:val="cs-CZ"/>
              </w:rPr>
              <w:t>Yearly</w:t>
            </w:r>
            <w:proofErr w:type="spellEnd"/>
            <w:r w:rsidRPr="00902555">
              <w:rPr>
                <w:rFonts w:eastAsia="MS Mincho"/>
                <w:sz w:val="16"/>
                <w:szCs w:val="16"/>
                <w:lang w:val="cs-CZ"/>
              </w:rPr>
              <w:t xml:space="preserve"> </w:t>
            </w:r>
            <w:proofErr w:type="spellStart"/>
            <w:r w:rsidRPr="00902555">
              <w:rPr>
                <w:rFonts w:eastAsia="MS Mincho"/>
                <w:sz w:val="16"/>
                <w:szCs w:val="16"/>
                <w:lang w:val="cs-CZ"/>
              </w:rPr>
              <w:t>fee</w:t>
            </w:r>
            <w:proofErr w:type="spellEnd"/>
            <w:r w:rsidRPr="00902555">
              <w:rPr>
                <w:rFonts w:eastAsia="MS Mincho"/>
                <w:sz w:val="16"/>
                <w:szCs w:val="16"/>
                <w:lang w:val="cs-CZ"/>
              </w:rPr>
              <w:t xml:space="preserve"> in EUR w/o VAT</w:t>
            </w:r>
          </w:p>
        </w:tc>
        <w:tc>
          <w:tcPr>
            <w:tcW w:w="686" w:type="pct"/>
            <w:tcBorders>
              <w:top w:val="single" w:sz="4" w:space="0" w:color="auto"/>
              <w:left w:val="single" w:sz="4" w:space="0" w:color="auto"/>
              <w:bottom w:val="single" w:sz="4" w:space="0" w:color="auto"/>
              <w:right w:val="single" w:sz="4" w:space="0" w:color="auto"/>
            </w:tcBorders>
            <w:shd w:val="clear" w:color="auto" w:fill="D9D9D9"/>
          </w:tcPr>
          <w:p w:rsidR="008727FA" w:rsidRPr="00902555" w:rsidRDefault="008727FA" w:rsidP="006269C7">
            <w:pPr>
              <w:widowControl/>
              <w:adjustRightInd w:val="0"/>
              <w:spacing w:after="200" w:line="276" w:lineRule="auto"/>
              <w:jc w:val="right"/>
              <w:rPr>
                <w:rFonts w:eastAsia="MS Mincho"/>
                <w:sz w:val="16"/>
                <w:szCs w:val="16"/>
                <w:lang w:val="cs-CZ"/>
              </w:rPr>
            </w:pPr>
          </w:p>
        </w:tc>
      </w:tr>
    </w:tbl>
    <w:p w:rsidR="008727FA" w:rsidRPr="00902555" w:rsidRDefault="008727FA" w:rsidP="008727FA">
      <w:pPr>
        <w:widowControl/>
        <w:tabs>
          <w:tab w:val="left" w:pos="1665"/>
        </w:tabs>
        <w:autoSpaceDE/>
        <w:autoSpaceDN/>
        <w:rPr>
          <w:rFonts w:eastAsia="Calibri"/>
          <w:sz w:val="20"/>
          <w:szCs w:val="20"/>
          <w:lang w:val="cs-CZ"/>
        </w:rPr>
      </w:pPr>
      <w:proofErr w:type="spellStart"/>
      <w:r w:rsidRPr="00902555">
        <w:rPr>
          <w:rFonts w:eastAsia="Calibri"/>
          <w:sz w:val="20"/>
          <w:szCs w:val="20"/>
          <w:lang w:val="cs-CZ"/>
        </w:rPr>
        <w:t>Vysvetlivky</w:t>
      </w:r>
      <w:proofErr w:type="spellEnd"/>
      <w:r w:rsidRPr="00902555">
        <w:rPr>
          <w:rFonts w:eastAsia="Calibri"/>
          <w:sz w:val="20"/>
          <w:szCs w:val="20"/>
          <w:lang w:val="cs-CZ"/>
        </w:rPr>
        <w:t>:</w:t>
      </w:r>
    </w:p>
    <w:p w:rsidR="008727FA" w:rsidRPr="00902555" w:rsidRDefault="008727FA" w:rsidP="008727FA">
      <w:pPr>
        <w:widowControl/>
        <w:tabs>
          <w:tab w:val="left" w:pos="1665"/>
        </w:tabs>
        <w:autoSpaceDE/>
        <w:autoSpaceDN/>
        <w:rPr>
          <w:rFonts w:eastAsia="Calibri"/>
          <w:sz w:val="20"/>
          <w:szCs w:val="20"/>
          <w:lang w:val="cs-CZ"/>
        </w:rPr>
      </w:pPr>
      <w:r w:rsidRPr="00902555">
        <w:rPr>
          <w:rFonts w:eastAsia="Calibri"/>
          <w:sz w:val="20"/>
          <w:szCs w:val="20"/>
          <w:lang w:val="cs-CZ"/>
        </w:rPr>
        <w:t xml:space="preserve">TPP- Produkt </w:t>
      </w:r>
      <w:proofErr w:type="spellStart"/>
      <w:r w:rsidRPr="00902555">
        <w:rPr>
          <w:rFonts w:eastAsia="Calibri"/>
          <w:sz w:val="20"/>
          <w:szCs w:val="20"/>
          <w:lang w:val="cs-CZ"/>
        </w:rPr>
        <w:t>tretej</w:t>
      </w:r>
      <w:proofErr w:type="spellEnd"/>
      <w:r w:rsidRPr="00902555">
        <w:rPr>
          <w:rFonts w:eastAsia="Calibri"/>
          <w:sz w:val="20"/>
          <w:szCs w:val="20"/>
          <w:lang w:val="cs-CZ"/>
        </w:rPr>
        <w:t xml:space="preserve"> strany: „X“ znamená, že softvérový produkt je produkt </w:t>
      </w:r>
      <w:proofErr w:type="spellStart"/>
      <w:r w:rsidRPr="00902555">
        <w:rPr>
          <w:rFonts w:eastAsia="Calibri"/>
          <w:sz w:val="20"/>
          <w:szCs w:val="20"/>
          <w:lang w:val="cs-CZ"/>
        </w:rPr>
        <w:t>tretej</w:t>
      </w:r>
      <w:proofErr w:type="spellEnd"/>
      <w:r w:rsidRPr="00902555">
        <w:rPr>
          <w:rFonts w:eastAsia="Calibri"/>
          <w:sz w:val="20"/>
          <w:szCs w:val="20"/>
          <w:lang w:val="cs-CZ"/>
        </w:rPr>
        <w:t xml:space="preserve"> strany licencovaný od </w:t>
      </w:r>
      <w:proofErr w:type="spellStart"/>
      <w:r w:rsidRPr="00902555">
        <w:rPr>
          <w:rFonts w:eastAsia="Calibri"/>
          <w:sz w:val="20"/>
          <w:szCs w:val="20"/>
          <w:lang w:val="cs-CZ"/>
        </w:rPr>
        <w:t>spoločnosti</w:t>
      </w:r>
      <w:proofErr w:type="spellEnd"/>
      <w:r w:rsidRPr="00902555">
        <w:rPr>
          <w:rFonts w:eastAsia="Calibri"/>
          <w:sz w:val="20"/>
          <w:szCs w:val="20"/>
          <w:lang w:val="cs-CZ"/>
        </w:rPr>
        <w:t xml:space="preserve"> SAP</w:t>
      </w:r>
      <w:r w:rsidRPr="00902555">
        <w:rPr>
          <w:rFonts w:eastAsia="Calibri"/>
          <w:sz w:val="20"/>
          <w:szCs w:val="20"/>
          <w:lang w:val="cs-CZ"/>
        </w:rPr>
        <w:br/>
        <w:t xml:space="preserve">SAV – Hodnota </w:t>
      </w:r>
      <w:proofErr w:type="spellStart"/>
      <w:r w:rsidRPr="00902555">
        <w:rPr>
          <w:rFonts w:eastAsia="Calibri"/>
          <w:sz w:val="20"/>
          <w:szCs w:val="20"/>
          <w:lang w:val="cs-CZ"/>
        </w:rPr>
        <w:t>aplikácie</w:t>
      </w:r>
      <w:proofErr w:type="spellEnd"/>
      <w:r w:rsidRPr="00902555">
        <w:rPr>
          <w:rFonts w:eastAsia="Calibri"/>
          <w:sz w:val="20"/>
          <w:szCs w:val="20"/>
          <w:lang w:val="cs-CZ"/>
        </w:rPr>
        <w:t xml:space="preserve"> SAP: „X“ znamená, že daný produkt je </w:t>
      </w:r>
      <w:proofErr w:type="spellStart"/>
      <w:r w:rsidRPr="00902555">
        <w:rPr>
          <w:rFonts w:eastAsia="Calibri"/>
          <w:sz w:val="20"/>
          <w:szCs w:val="20"/>
          <w:lang w:val="cs-CZ"/>
        </w:rPr>
        <w:t>súčasťou</w:t>
      </w:r>
      <w:proofErr w:type="spellEnd"/>
      <w:r w:rsidRPr="00902555">
        <w:rPr>
          <w:rFonts w:eastAsia="Calibri"/>
          <w:sz w:val="20"/>
          <w:szCs w:val="20"/>
          <w:lang w:val="cs-CZ"/>
        </w:rPr>
        <w:t xml:space="preserve"> hodnoty </w:t>
      </w:r>
      <w:proofErr w:type="spellStart"/>
      <w:r w:rsidRPr="00902555">
        <w:rPr>
          <w:rFonts w:eastAsia="Calibri"/>
          <w:sz w:val="20"/>
          <w:szCs w:val="20"/>
          <w:lang w:val="cs-CZ"/>
        </w:rPr>
        <w:t>aplikácie</w:t>
      </w:r>
      <w:proofErr w:type="spellEnd"/>
      <w:r w:rsidRPr="00902555">
        <w:rPr>
          <w:rFonts w:eastAsia="Calibri"/>
          <w:sz w:val="20"/>
          <w:szCs w:val="20"/>
          <w:lang w:val="cs-CZ"/>
        </w:rPr>
        <w:t xml:space="preserve"> SAP a je teda </w:t>
      </w:r>
      <w:proofErr w:type="spellStart"/>
      <w:r w:rsidRPr="00902555">
        <w:rPr>
          <w:rFonts w:eastAsia="Calibri"/>
          <w:sz w:val="20"/>
          <w:szCs w:val="20"/>
          <w:lang w:val="cs-CZ"/>
        </w:rPr>
        <w:t>relevantný</w:t>
      </w:r>
      <w:proofErr w:type="spellEnd"/>
      <w:r w:rsidRPr="00902555">
        <w:rPr>
          <w:rFonts w:eastAsia="Calibri"/>
          <w:sz w:val="20"/>
          <w:szCs w:val="20"/>
          <w:lang w:val="cs-CZ"/>
        </w:rPr>
        <w:t xml:space="preserve"> </w:t>
      </w:r>
      <w:proofErr w:type="spellStart"/>
      <w:r w:rsidRPr="00902555">
        <w:rPr>
          <w:rFonts w:eastAsia="Calibri"/>
          <w:sz w:val="20"/>
          <w:szCs w:val="20"/>
          <w:lang w:val="cs-CZ"/>
        </w:rPr>
        <w:t>pre</w:t>
      </w:r>
      <w:proofErr w:type="spellEnd"/>
      <w:r w:rsidRPr="00902555">
        <w:rPr>
          <w:rFonts w:eastAsia="Calibri"/>
          <w:sz w:val="20"/>
          <w:szCs w:val="20"/>
          <w:lang w:val="cs-CZ"/>
        </w:rPr>
        <w:t xml:space="preserve"> runtime </w:t>
      </w:r>
      <w:proofErr w:type="spellStart"/>
      <w:r w:rsidRPr="00902555">
        <w:rPr>
          <w:rFonts w:eastAsia="Calibri"/>
          <w:sz w:val="20"/>
          <w:szCs w:val="20"/>
          <w:lang w:val="cs-CZ"/>
        </w:rPr>
        <w:t>databázy</w:t>
      </w:r>
      <w:proofErr w:type="spellEnd"/>
      <w:r w:rsidRPr="00902555">
        <w:rPr>
          <w:rFonts w:eastAsia="Calibri"/>
          <w:sz w:val="20"/>
          <w:szCs w:val="20"/>
          <w:lang w:val="cs-CZ"/>
        </w:rPr>
        <w:t xml:space="preserve"> licencované </w:t>
      </w:r>
      <w:proofErr w:type="spellStart"/>
      <w:r w:rsidRPr="00902555">
        <w:rPr>
          <w:rFonts w:eastAsia="Calibri"/>
          <w:sz w:val="20"/>
          <w:szCs w:val="20"/>
          <w:lang w:val="cs-CZ"/>
        </w:rPr>
        <w:t>spoločnosťou</w:t>
      </w:r>
      <w:proofErr w:type="spellEnd"/>
      <w:r w:rsidRPr="00902555">
        <w:rPr>
          <w:rFonts w:eastAsia="Calibri"/>
          <w:sz w:val="20"/>
          <w:szCs w:val="20"/>
          <w:lang w:val="cs-CZ"/>
        </w:rPr>
        <w:t xml:space="preserve"> SAP.</w:t>
      </w:r>
    </w:p>
    <w:p w:rsidR="008727FA" w:rsidRPr="00902555" w:rsidRDefault="008727FA" w:rsidP="008727FA">
      <w:pPr>
        <w:widowControl/>
        <w:autoSpaceDE/>
        <w:autoSpaceDN/>
        <w:rPr>
          <w:rFonts w:eastAsia="Calibri"/>
          <w:lang w:val="cs-CZ"/>
        </w:rPr>
      </w:pPr>
      <w:r w:rsidRPr="00902555">
        <w:rPr>
          <w:rFonts w:eastAsia="Calibri"/>
          <w:sz w:val="20"/>
          <w:szCs w:val="20"/>
          <w:lang w:val="cs-CZ"/>
        </w:rPr>
        <w:t xml:space="preserve">HSAV – Hodnota HANA </w:t>
      </w:r>
      <w:proofErr w:type="spellStart"/>
      <w:r w:rsidRPr="00902555">
        <w:rPr>
          <w:rFonts w:eastAsia="Calibri"/>
          <w:sz w:val="20"/>
          <w:szCs w:val="20"/>
          <w:lang w:val="cs-CZ"/>
        </w:rPr>
        <w:t>relevantných</w:t>
      </w:r>
      <w:proofErr w:type="spellEnd"/>
      <w:r w:rsidRPr="00902555">
        <w:rPr>
          <w:rFonts w:eastAsia="Calibri"/>
          <w:sz w:val="20"/>
          <w:szCs w:val="20"/>
          <w:lang w:val="cs-CZ"/>
        </w:rPr>
        <w:t xml:space="preserve"> </w:t>
      </w:r>
      <w:proofErr w:type="spellStart"/>
      <w:r w:rsidRPr="00902555">
        <w:rPr>
          <w:rFonts w:eastAsia="Calibri"/>
          <w:sz w:val="20"/>
          <w:szCs w:val="20"/>
          <w:lang w:val="cs-CZ"/>
        </w:rPr>
        <w:t>aplikácií</w:t>
      </w:r>
      <w:proofErr w:type="spellEnd"/>
      <w:r w:rsidRPr="00902555">
        <w:rPr>
          <w:rFonts w:eastAsia="Calibri"/>
          <w:sz w:val="20"/>
          <w:szCs w:val="20"/>
          <w:lang w:val="cs-CZ"/>
        </w:rPr>
        <w:t xml:space="preserve"> SAP: „X“ znamená, že daný produkt je </w:t>
      </w:r>
      <w:proofErr w:type="spellStart"/>
      <w:r w:rsidRPr="00902555">
        <w:rPr>
          <w:rFonts w:eastAsia="Calibri"/>
          <w:sz w:val="20"/>
          <w:szCs w:val="20"/>
          <w:lang w:val="cs-CZ"/>
        </w:rPr>
        <w:t>relevantný</w:t>
      </w:r>
      <w:proofErr w:type="spellEnd"/>
      <w:r w:rsidRPr="00902555">
        <w:rPr>
          <w:rFonts w:eastAsia="Calibri"/>
          <w:sz w:val="20"/>
          <w:szCs w:val="20"/>
          <w:lang w:val="cs-CZ"/>
        </w:rPr>
        <w:t xml:space="preserve"> </w:t>
      </w:r>
      <w:proofErr w:type="spellStart"/>
      <w:r w:rsidRPr="00902555">
        <w:rPr>
          <w:rFonts w:eastAsia="Calibri"/>
          <w:sz w:val="20"/>
          <w:szCs w:val="20"/>
          <w:lang w:val="cs-CZ"/>
        </w:rPr>
        <w:t>pre</w:t>
      </w:r>
      <w:proofErr w:type="spellEnd"/>
      <w:r w:rsidRPr="00902555">
        <w:rPr>
          <w:rFonts w:eastAsia="Calibri"/>
          <w:sz w:val="20"/>
          <w:szCs w:val="20"/>
          <w:lang w:val="cs-CZ"/>
        </w:rPr>
        <w:t xml:space="preserve"> runtime HANA </w:t>
      </w:r>
      <w:proofErr w:type="spellStart"/>
      <w:r w:rsidRPr="00902555">
        <w:rPr>
          <w:rFonts w:eastAsia="Calibri"/>
          <w:sz w:val="20"/>
          <w:szCs w:val="20"/>
          <w:lang w:val="cs-CZ"/>
        </w:rPr>
        <w:t>databázy</w:t>
      </w:r>
      <w:proofErr w:type="spellEnd"/>
      <w:r w:rsidRPr="00902555">
        <w:rPr>
          <w:rFonts w:eastAsia="Calibri"/>
          <w:sz w:val="20"/>
          <w:szCs w:val="20"/>
          <w:lang w:val="cs-CZ"/>
        </w:rPr>
        <w:t xml:space="preserve"> licencované </w:t>
      </w:r>
      <w:proofErr w:type="spellStart"/>
      <w:r w:rsidRPr="00902555">
        <w:rPr>
          <w:rFonts w:eastAsia="Calibri"/>
          <w:sz w:val="20"/>
          <w:szCs w:val="20"/>
          <w:lang w:val="cs-CZ"/>
        </w:rPr>
        <w:t>spoločnosťou</w:t>
      </w:r>
      <w:proofErr w:type="spellEnd"/>
      <w:r w:rsidRPr="00902555">
        <w:rPr>
          <w:rFonts w:eastAsia="Calibri"/>
          <w:sz w:val="20"/>
          <w:szCs w:val="20"/>
          <w:lang w:val="cs-CZ"/>
        </w:rPr>
        <w:t xml:space="preserve"> SAP</w:t>
      </w:r>
    </w:p>
    <w:p w:rsidR="008727FA" w:rsidRPr="00902555" w:rsidRDefault="008727FA" w:rsidP="008727FA">
      <w:pPr>
        <w:jc w:val="center"/>
        <w:rPr>
          <w:lang w:val="sk-SK"/>
        </w:rPr>
      </w:pPr>
    </w:p>
    <w:p w:rsidR="008727FA" w:rsidRPr="00902555" w:rsidRDefault="008727FA" w:rsidP="008727FA">
      <w:pPr>
        <w:jc w:val="center"/>
        <w:rPr>
          <w:lang w:val="sk-SK"/>
        </w:rPr>
      </w:pPr>
    </w:p>
    <w:p w:rsidR="00967092" w:rsidRPr="008727FA" w:rsidRDefault="00967092" w:rsidP="008727FA">
      <w:bookmarkStart w:id="0" w:name="_GoBack"/>
      <w:bookmarkEnd w:id="0"/>
    </w:p>
    <w:sectPr w:rsidR="00967092" w:rsidRPr="008727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7F1300"/>
    <w:multiLevelType w:val="multilevel"/>
    <w:tmpl w:val="5B125440"/>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7FA"/>
    <w:rsid w:val="008727FA"/>
    <w:rsid w:val="009670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18AED-405D-4D5F-BF82-A57FFEF8B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8727FA"/>
    <w:pPr>
      <w:widowControl w:val="0"/>
      <w:autoSpaceDE w:val="0"/>
      <w:autoSpaceDN w:val="0"/>
      <w:spacing w:after="0" w:line="240" w:lineRule="auto"/>
    </w:pPr>
    <w:rPr>
      <w:rFonts w:ascii="Arial" w:eastAsia="Arial" w:hAnsi="Arial" w:cs="Arial"/>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8">
    <w:name w:val="Mriežka tabuľky8"/>
    <w:basedOn w:val="Normlnatabuka"/>
    <w:next w:val="Mriekatabuky"/>
    <w:uiPriority w:val="59"/>
    <w:rsid w:val="008727FA"/>
    <w:pPr>
      <w:spacing w:after="0" w:line="240" w:lineRule="auto"/>
    </w:pPr>
    <w:rPr>
      <w:rFonts w:ascii="Calibri" w:eastAsia="Calibri" w:hAnsi="Calibri" w:cs="Arial"/>
      <w:lang w:val="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872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1014</Words>
  <Characters>5782</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Gernic, Stanislav</dc:creator>
  <cp:keywords/>
  <dc:description/>
  <cp:lastModifiedBy>Gernic, Stanislav</cp:lastModifiedBy>
  <cp:revision>1</cp:revision>
  <dcterms:created xsi:type="dcterms:W3CDTF">2023-01-20T10:24:00Z</dcterms:created>
  <dcterms:modified xsi:type="dcterms:W3CDTF">2023-01-20T10:25:00Z</dcterms:modified>
</cp:coreProperties>
</file>